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E5" w:rsidRDefault="00E054E5" w:rsidP="00E054E5">
      <w:pPr>
        <w:ind w:right="-144" w:firstLine="567"/>
        <w:contextualSpacing/>
        <w:jc w:val="center"/>
        <w:rPr>
          <w:u w:val="single"/>
        </w:rPr>
      </w:pPr>
      <w:r w:rsidRPr="00E054E5">
        <w:rPr>
          <w:u w:val="single"/>
        </w:rPr>
        <w:t>Муниципальное бюджетное учреждение дополнительного образования</w:t>
      </w:r>
    </w:p>
    <w:p w:rsidR="00E054E5" w:rsidRDefault="00E054E5" w:rsidP="00E054E5">
      <w:pPr>
        <w:ind w:right="-144" w:firstLine="567"/>
        <w:contextualSpacing/>
        <w:jc w:val="center"/>
        <w:rPr>
          <w:u w:val="single"/>
        </w:rPr>
      </w:pPr>
      <w:r w:rsidRPr="00E054E5">
        <w:rPr>
          <w:u w:val="single"/>
        </w:rPr>
        <w:t>"Камбарская детская школа искусств"</w:t>
      </w:r>
    </w:p>
    <w:p w:rsidR="00E054E5" w:rsidRPr="000E6C4A" w:rsidRDefault="00E054E5" w:rsidP="00E054E5">
      <w:pPr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 xml:space="preserve">муниципального образования «Муниципальный округ Камбарский район Удмуртской Республики»  </w:t>
      </w:r>
      <w:r w:rsidRPr="000E6C4A">
        <w:t xml:space="preserve"> 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E054E5" w:rsidRDefault="00E054E5" w:rsidP="00E054E5">
      <w:pPr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>
        <w:t>02</w:t>
      </w:r>
      <w:r w:rsidRPr="00174360">
        <w:t xml:space="preserve"> </w:t>
      </w:r>
      <w:r>
        <w:t>июня</w:t>
      </w:r>
      <w:r w:rsidRPr="00174360">
        <w:t xml:space="preserve"> 202</w:t>
      </w:r>
      <w:r>
        <w:t>2</w:t>
      </w:r>
      <w:r w:rsidRPr="00174360">
        <w:t xml:space="preserve"> года №</w:t>
      </w:r>
      <w:r>
        <w:t xml:space="preserve">48 </w:t>
      </w:r>
      <w:r w:rsidRPr="00150FE4">
        <w:t xml:space="preserve">«О проведении контрольного мероприятия», в соответствии с пунктом </w:t>
      </w:r>
      <w:r>
        <w:t>2</w:t>
      </w:r>
      <w:r w:rsidRPr="00150FE4">
        <w:t xml:space="preserve"> плана контрольных мероприятий управления финансов </w:t>
      </w:r>
      <w:r>
        <w:t>А</w:t>
      </w:r>
      <w:r w:rsidRPr="00150FE4">
        <w:t xml:space="preserve">дминистрации </w:t>
      </w:r>
      <w:r w:rsidRPr="00977D9F">
        <w:t xml:space="preserve">муниципального образования «Муниципальный округ Камбарский район Удмуртской Республики»  </w:t>
      </w:r>
      <w:r w:rsidRPr="00150FE4">
        <w:t>на 202</w:t>
      </w:r>
      <w:r>
        <w:t>2</w:t>
      </w:r>
      <w:r w:rsidRPr="00150FE4">
        <w:t xml:space="preserve"> год, утвержденным приказом </w:t>
      </w:r>
      <w:r w:rsidRPr="00977D9F">
        <w:t>Управления финансов Администрации муниципального образования «Муниципальный округ Камбарский район Удмуртской Республики» от 30 декабря 2021 г. №20</w:t>
      </w:r>
      <w:r w:rsidRPr="00150FE4">
        <w:t>.</w:t>
      </w:r>
    </w:p>
    <w:p w:rsidR="0005220A" w:rsidRDefault="0005220A" w:rsidP="0005220A">
      <w:pPr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E054E5">
        <w:t>5</w:t>
      </w:r>
      <w:r>
        <w:t xml:space="preserve"> от </w:t>
      </w:r>
      <w:r w:rsidR="00E054E5">
        <w:t>01</w:t>
      </w:r>
      <w:r>
        <w:t>.</w:t>
      </w:r>
      <w:r w:rsidR="00C81251">
        <w:t>0</w:t>
      </w:r>
      <w:r w:rsidR="00E054E5">
        <w:t>7</w:t>
      </w:r>
      <w:r>
        <w:t>.202</w:t>
      </w:r>
      <w:r w:rsidR="00C81251">
        <w:t>2</w:t>
      </w:r>
      <w:r>
        <w:t xml:space="preserve"> года</w:t>
      </w:r>
    </w:p>
    <w:p w:rsidR="0005220A" w:rsidRDefault="0005220A" w:rsidP="0005220A">
      <w:pPr>
        <w:ind w:firstLine="567"/>
        <w:jc w:val="both"/>
      </w:pPr>
      <w:r w:rsidRPr="00DC2086">
        <w:t>В ходе контрольного мероприятия выявлены следующие нарушения</w:t>
      </w:r>
      <w:r>
        <w:t>:</w:t>
      </w:r>
    </w:p>
    <w:tbl>
      <w:tblPr>
        <w:tblStyle w:val="a6"/>
        <w:tblW w:w="9398" w:type="dxa"/>
        <w:tblInd w:w="66" w:type="dxa"/>
        <w:tblLook w:val="04A0"/>
      </w:tblPr>
      <w:tblGrid>
        <w:gridCol w:w="468"/>
        <w:gridCol w:w="3108"/>
        <w:gridCol w:w="5822"/>
      </w:tblGrid>
      <w:tr w:rsidR="00E054E5" w:rsidRPr="00E054E5" w:rsidTr="00D4222C">
        <w:trPr>
          <w:trHeight w:val="220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1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Содержание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E054E5" w:rsidRPr="00E054E5" w:rsidRDefault="00E054E5" w:rsidP="00E054E5">
            <w:pPr>
              <w:ind w:firstLine="327"/>
              <w:jc w:val="both"/>
            </w:pPr>
            <w:r w:rsidRPr="00E054E5">
              <w:t>Сумма фактических закупок превышает запланированные закупки в плане-графике:</w:t>
            </w:r>
          </w:p>
          <w:p w:rsidR="00E054E5" w:rsidRPr="00E054E5" w:rsidRDefault="00E054E5" w:rsidP="00E054E5">
            <w:pPr>
              <w:ind w:firstLine="327"/>
              <w:jc w:val="both"/>
            </w:pPr>
            <w:r w:rsidRPr="00E054E5">
              <w:t xml:space="preserve"> 1.1. сумма заключенного контракта с ООО «Сарапултеплоэнерго+» от 28.01.2020г. №27 по п. 8 ч. 1 ст. 93 Федерального закона №44-ФЗ согласно информации о контракте, размещенной в ЕИС, превышает запланированную сумму в плане-графике на 2020 год от 18.06.20 г. на 35000,00  руб., от 08.04.21 г. на 80468,65 руб. (за счет лимитов бюджетных обязательств 2021 года);</w:t>
            </w:r>
          </w:p>
          <w:p w:rsidR="00E054E5" w:rsidRPr="00E054E5" w:rsidRDefault="00E054E5" w:rsidP="00E054E5">
            <w:pPr>
              <w:ind w:firstLine="327"/>
              <w:jc w:val="both"/>
            </w:pPr>
            <w:r w:rsidRPr="00E054E5">
              <w:t>1.2. сумма заключенного контракта с ООО «Сарапултеплоэнерго+» от 27.01.2021г. №27 по п. 8 ч. 1 ст. 93 Федерального закона №44-ФЗ согласно информации о контракте, размещенной в ЕИС, превышает запланированную сумму в плане-графике на 2021 год от 09.11.21 г. на 104866,51  руб., от 25.02.22 г. на 21222,95 руб.</w:t>
            </w:r>
          </w:p>
        </w:tc>
      </w:tr>
      <w:tr w:rsidR="00E054E5" w:rsidRPr="00E054E5" w:rsidTr="00D4222C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</w:p>
        </w:tc>
        <w:tc>
          <w:tcPr>
            <w:tcW w:w="3108" w:type="dxa"/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E054E5" w:rsidRPr="00E054E5" w:rsidRDefault="00E054E5" w:rsidP="00E054E5">
            <w:pPr>
              <w:ind w:firstLine="567"/>
              <w:jc w:val="center"/>
            </w:pPr>
            <w:r w:rsidRPr="00E054E5">
              <w:t>241,6 тыс. руб.</w:t>
            </w:r>
          </w:p>
        </w:tc>
      </w:tr>
      <w:tr w:rsidR="00E054E5" w:rsidRPr="00E054E5" w:rsidTr="00D4222C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</w:p>
        </w:tc>
        <w:tc>
          <w:tcPr>
            <w:tcW w:w="3108" w:type="dxa"/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E054E5" w:rsidRPr="00E054E5" w:rsidRDefault="00E054E5" w:rsidP="00E054E5">
            <w:pPr>
              <w:ind w:firstLine="567"/>
              <w:jc w:val="center"/>
            </w:pPr>
            <w:r w:rsidRPr="00E054E5">
              <w:t>2020 год, 2021 год</w:t>
            </w:r>
          </w:p>
        </w:tc>
      </w:tr>
      <w:tr w:rsidR="00E054E5" w:rsidRPr="00E054E5" w:rsidTr="00E054E5">
        <w:trPr>
          <w:trHeight w:val="1668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right w:val="single" w:sz="12" w:space="0" w:color="auto"/>
            </w:tcBorders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Часть 1 статья 16 Федерального закона №44-ФЗ (до 01.10.19 г. - ч. 11 ст. 21 Федерального закона № 44-ФЗ)</w:t>
            </w:r>
          </w:p>
          <w:p w:rsidR="00E054E5" w:rsidRPr="00E054E5" w:rsidRDefault="00E054E5" w:rsidP="00E054E5">
            <w:pPr>
              <w:ind w:firstLine="567"/>
              <w:jc w:val="both"/>
            </w:pPr>
          </w:p>
          <w:p w:rsidR="00E054E5" w:rsidRPr="00E054E5" w:rsidRDefault="00E054E5" w:rsidP="00E054E5">
            <w:pPr>
              <w:ind w:firstLine="567"/>
              <w:jc w:val="both"/>
            </w:pPr>
          </w:p>
          <w:p w:rsidR="00E054E5" w:rsidRPr="00E054E5" w:rsidRDefault="00E054E5" w:rsidP="00E054E5">
            <w:pPr>
              <w:ind w:firstLine="567"/>
              <w:jc w:val="both"/>
            </w:pPr>
          </w:p>
          <w:p w:rsidR="00E054E5" w:rsidRPr="00E054E5" w:rsidRDefault="00E054E5" w:rsidP="00E054E5">
            <w:pPr>
              <w:ind w:firstLine="567"/>
              <w:jc w:val="both"/>
            </w:pPr>
          </w:p>
          <w:p w:rsidR="00E054E5" w:rsidRPr="00E054E5" w:rsidRDefault="00E054E5" w:rsidP="00E054E5">
            <w:pPr>
              <w:ind w:firstLine="567"/>
              <w:jc w:val="both"/>
            </w:pPr>
          </w:p>
        </w:tc>
      </w:tr>
      <w:tr w:rsidR="00E054E5" w:rsidRPr="00E054E5" w:rsidTr="00D4222C">
        <w:trPr>
          <w:trHeight w:val="220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2</w:t>
            </w:r>
          </w:p>
        </w:tc>
        <w:tc>
          <w:tcPr>
            <w:tcW w:w="3108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Содержание нарушения</w:t>
            </w:r>
          </w:p>
          <w:p w:rsidR="00E054E5" w:rsidRPr="00E054E5" w:rsidRDefault="00E054E5" w:rsidP="00E054E5">
            <w:pPr>
              <w:ind w:firstLine="567"/>
              <w:jc w:val="both"/>
            </w:pPr>
            <w:r w:rsidRPr="00E054E5">
              <w:t>Нарушение в денежном выражении</w:t>
            </w:r>
          </w:p>
          <w:p w:rsidR="00E054E5" w:rsidRPr="00E054E5" w:rsidRDefault="00E054E5" w:rsidP="00E054E5">
            <w:pPr>
              <w:ind w:firstLine="567"/>
              <w:jc w:val="both"/>
            </w:pPr>
            <w:r w:rsidRPr="00E054E5">
              <w:t>Дата (период) совершения нарушения</w:t>
            </w:r>
          </w:p>
          <w:p w:rsidR="00E054E5" w:rsidRPr="00E054E5" w:rsidRDefault="00E054E5" w:rsidP="00E054E5">
            <w:pPr>
              <w:ind w:firstLine="567"/>
              <w:jc w:val="both"/>
            </w:pPr>
            <w:r w:rsidRPr="00E054E5"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rPr>
                <w:bCs/>
              </w:rPr>
              <w:t>В плане ФХД на 2021 год (от 10.03.21 г.) не отражена сумма выплат на оплату контрактов, заключенных до начала очередного финансового года в соответствии с Федеральным законом № 44-ФЗ, завышая суммы доступных к использованию лимитов бюджетных обязательств на осуществление закупок</w:t>
            </w:r>
          </w:p>
        </w:tc>
      </w:tr>
      <w:tr w:rsidR="00E054E5" w:rsidRPr="00E054E5" w:rsidTr="00D4222C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E054E5" w:rsidRPr="00E054E5" w:rsidRDefault="00E054E5" w:rsidP="00E054E5">
            <w:pPr>
              <w:ind w:firstLine="567"/>
              <w:jc w:val="both"/>
            </w:pPr>
          </w:p>
        </w:tc>
        <w:tc>
          <w:tcPr>
            <w:tcW w:w="3108" w:type="dxa"/>
            <w:vMerge/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4E5" w:rsidRPr="00E054E5" w:rsidRDefault="00E054E5" w:rsidP="00E054E5">
            <w:pPr>
              <w:ind w:firstLine="567"/>
              <w:jc w:val="center"/>
            </w:pPr>
            <w:r w:rsidRPr="00E054E5">
              <w:rPr>
                <w:bCs/>
              </w:rPr>
              <w:t>70851,18</w:t>
            </w:r>
          </w:p>
        </w:tc>
      </w:tr>
      <w:tr w:rsidR="00E054E5" w:rsidRPr="00E054E5" w:rsidTr="00D4222C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E054E5" w:rsidRPr="00E054E5" w:rsidRDefault="00E054E5" w:rsidP="00E054E5">
            <w:pPr>
              <w:ind w:firstLine="567"/>
              <w:jc w:val="both"/>
            </w:pPr>
          </w:p>
        </w:tc>
        <w:tc>
          <w:tcPr>
            <w:tcW w:w="3108" w:type="dxa"/>
            <w:vMerge/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4E5" w:rsidRPr="00E054E5" w:rsidRDefault="00E054E5" w:rsidP="00E054E5">
            <w:pPr>
              <w:ind w:firstLine="567"/>
              <w:jc w:val="center"/>
            </w:pPr>
            <w:r w:rsidRPr="00E054E5">
              <w:t>2021 год</w:t>
            </w:r>
          </w:p>
        </w:tc>
      </w:tr>
      <w:tr w:rsidR="00E054E5" w:rsidRPr="00E054E5" w:rsidTr="00D4222C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E054E5" w:rsidRPr="00E054E5" w:rsidRDefault="00E054E5" w:rsidP="00E054E5">
            <w:pPr>
              <w:ind w:firstLine="567"/>
              <w:jc w:val="both"/>
            </w:pPr>
          </w:p>
        </w:tc>
        <w:tc>
          <w:tcPr>
            <w:tcW w:w="3108" w:type="dxa"/>
            <w:vMerge/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Приказ  Министерства финансов Российской Федерации от 31 августа 2018 г. № 186н "О Требованиях к составлению и утверждению плана финансово-хозяйственной деятельности государственного (муниципального) учреждения"</w:t>
            </w:r>
          </w:p>
        </w:tc>
      </w:tr>
      <w:tr w:rsidR="00E054E5" w:rsidRPr="00E054E5" w:rsidTr="00D4222C">
        <w:trPr>
          <w:trHeight w:val="220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lastRenderedPageBreak/>
              <w:t>3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Содержание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Размещена на официальном сайте единой информационной системы в сфере закупок в информационно-телекоммуникационной сети "Интернет" о размещении заказов на поставки товаров, выполнение работ, оказание услуг – www.zakupki.gov.ru.- информация об исполнении 2 контрактов с нарушением установленного Федеральным законом №44-ФЗ срока.</w:t>
            </w:r>
          </w:p>
        </w:tc>
      </w:tr>
      <w:tr w:rsidR="00E054E5" w:rsidRPr="00E054E5" w:rsidTr="00D4222C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</w:p>
        </w:tc>
        <w:tc>
          <w:tcPr>
            <w:tcW w:w="3108" w:type="dxa"/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E054E5" w:rsidRPr="00E054E5" w:rsidRDefault="00E054E5" w:rsidP="00E054E5">
            <w:pPr>
              <w:ind w:firstLine="567"/>
              <w:jc w:val="center"/>
            </w:pPr>
            <w:r w:rsidRPr="00E054E5">
              <w:t>-</w:t>
            </w:r>
          </w:p>
        </w:tc>
      </w:tr>
      <w:tr w:rsidR="00E054E5" w:rsidRPr="00E054E5" w:rsidTr="00D4222C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</w:p>
        </w:tc>
        <w:tc>
          <w:tcPr>
            <w:tcW w:w="3108" w:type="dxa"/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E054E5" w:rsidRPr="00E054E5" w:rsidRDefault="00E054E5" w:rsidP="00E054E5">
            <w:pPr>
              <w:ind w:firstLine="567"/>
              <w:jc w:val="center"/>
            </w:pPr>
            <w:r w:rsidRPr="00E054E5">
              <w:t>2020 год, 2021 год</w:t>
            </w:r>
          </w:p>
        </w:tc>
      </w:tr>
      <w:tr w:rsidR="00E054E5" w:rsidRPr="00E054E5" w:rsidTr="00D4222C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bottom w:val="single" w:sz="12" w:space="0" w:color="auto"/>
              <w:right w:val="single" w:sz="12" w:space="0" w:color="auto"/>
            </w:tcBorders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Часть 3 ст. 103 Федерального закона № 44-ФЗ</w:t>
            </w:r>
          </w:p>
        </w:tc>
      </w:tr>
      <w:tr w:rsidR="00E054E5" w:rsidRPr="00E054E5" w:rsidTr="00D4222C">
        <w:trPr>
          <w:trHeight w:val="875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4</w:t>
            </w:r>
          </w:p>
        </w:tc>
        <w:tc>
          <w:tcPr>
            <w:tcW w:w="3108" w:type="dxa"/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Содержание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rPr>
                <w:bCs/>
              </w:rPr>
              <w:t>Размещение недостоверной информации об исполнении 2 контрактов</w:t>
            </w:r>
          </w:p>
        </w:tc>
      </w:tr>
      <w:tr w:rsidR="00E054E5" w:rsidRPr="00E054E5" w:rsidTr="00D4222C">
        <w:trPr>
          <w:trHeight w:val="69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</w:p>
        </w:tc>
        <w:tc>
          <w:tcPr>
            <w:tcW w:w="3108" w:type="dxa"/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E054E5" w:rsidRPr="00E054E5" w:rsidRDefault="00E054E5" w:rsidP="00E054E5">
            <w:pPr>
              <w:ind w:firstLine="567"/>
              <w:jc w:val="center"/>
              <w:rPr>
                <w:bCs/>
              </w:rPr>
            </w:pPr>
            <w:r w:rsidRPr="00E054E5">
              <w:rPr>
                <w:bCs/>
              </w:rPr>
              <w:t>-</w:t>
            </w:r>
          </w:p>
        </w:tc>
      </w:tr>
      <w:tr w:rsidR="00E054E5" w:rsidRPr="00E054E5" w:rsidTr="00D4222C">
        <w:trPr>
          <w:trHeight w:val="804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</w:p>
        </w:tc>
        <w:tc>
          <w:tcPr>
            <w:tcW w:w="3108" w:type="dxa"/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E054E5" w:rsidRPr="00E054E5" w:rsidRDefault="00E054E5" w:rsidP="00E054E5">
            <w:pPr>
              <w:ind w:firstLine="567"/>
              <w:jc w:val="center"/>
              <w:rPr>
                <w:bCs/>
              </w:rPr>
            </w:pPr>
            <w:r w:rsidRPr="00E054E5">
              <w:t>2020 год, 2021 год</w:t>
            </w:r>
          </w:p>
        </w:tc>
      </w:tr>
      <w:tr w:rsidR="00E054E5" w:rsidRPr="00E054E5" w:rsidTr="00D4222C">
        <w:trPr>
          <w:trHeight w:val="41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</w:p>
        </w:tc>
        <w:tc>
          <w:tcPr>
            <w:tcW w:w="3108" w:type="dxa"/>
            <w:vAlign w:val="center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E054E5" w:rsidRPr="00E054E5" w:rsidRDefault="00E054E5" w:rsidP="00E054E5">
            <w:pPr>
              <w:ind w:firstLine="567"/>
              <w:jc w:val="both"/>
              <w:rPr>
                <w:bCs/>
              </w:rPr>
            </w:pPr>
            <w:r w:rsidRPr="00E054E5">
              <w:t>Часть 2 ст. 103 Федерального закона № 44-ФЗ</w:t>
            </w:r>
          </w:p>
        </w:tc>
      </w:tr>
      <w:tr w:rsidR="00E054E5" w:rsidRPr="00E054E5" w:rsidTr="00D4222C">
        <w:trPr>
          <w:trHeight w:val="1550"/>
        </w:trPr>
        <w:tc>
          <w:tcPr>
            <w:tcW w:w="0" w:type="auto"/>
            <w:vMerge w:val="restart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5</w:t>
            </w:r>
          </w:p>
        </w:tc>
        <w:tc>
          <w:tcPr>
            <w:tcW w:w="3108" w:type="dxa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Содержание нарушения</w:t>
            </w:r>
          </w:p>
        </w:tc>
        <w:tc>
          <w:tcPr>
            <w:tcW w:w="5822" w:type="dxa"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rPr>
                <w:bCs/>
              </w:rPr>
              <w:t xml:space="preserve">В ходе опубликования 1 контракта в 2021 году в </w:t>
            </w:r>
            <w:r w:rsidRPr="00E054E5">
              <w:t>автоматизированной информационной системе управления бюджетным процессом Удмуртской Республики</w:t>
            </w:r>
            <w:r w:rsidRPr="00E054E5">
              <w:rPr>
                <w:bCs/>
              </w:rPr>
              <w:t>, неверно указана причина осуществления закупки без публикации извещения</w:t>
            </w:r>
          </w:p>
        </w:tc>
      </w:tr>
      <w:tr w:rsidR="00E054E5" w:rsidRPr="00E054E5" w:rsidTr="00D4222C">
        <w:trPr>
          <w:trHeight w:val="715"/>
        </w:trPr>
        <w:tc>
          <w:tcPr>
            <w:tcW w:w="0" w:type="auto"/>
            <w:vMerge/>
            <w:hideMark/>
          </w:tcPr>
          <w:p w:rsidR="00E054E5" w:rsidRPr="00E054E5" w:rsidRDefault="00E054E5" w:rsidP="00E054E5">
            <w:pPr>
              <w:ind w:firstLine="567"/>
              <w:jc w:val="both"/>
            </w:pPr>
          </w:p>
        </w:tc>
        <w:tc>
          <w:tcPr>
            <w:tcW w:w="3108" w:type="dxa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Нарушение в денежном выражении</w:t>
            </w:r>
          </w:p>
        </w:tc>
        <w:tc>
          <w:tcPr>
            <w:tcW w:w="5822" w:type="dxa"/>
          </w:tcPr>
          <w:p w:rsidR="00E054E5" w:rsidRPr="00E054E5" w:rsidRDefault="00E054E5" w:rsidP="00E054E5">
            <w:pPr>
              <w:ind w:firstLine="567"/>
              <w:jc w:val="center"/>
            </w:pPr>
            <w:r w:rsidRPr="00E054E5">
              <w:rPr>
                <w:bCs/>
              </w:rPr>
              <w:t>-</w:t>
            </w:r>
          </w:p>
        </w:tc>
      </w:tr>
      <w:tr w:rsidR="00E054E5" w:rsidRPr="00E054E5" w:rsidTr="00D4222C">
        <w:trPr>
          <w:trHeight w:val="712"/>
        </w:trPr>
        <w:tc>
          <w:tcPr>
            <w:tcW w:w="0" w:type="auto"/>
            <w:vMerge/>
            <w:hideMark/>
          </w:tcPr>
          <w:p w:rsidR="00E054E5" w:rsidRPr="00E054E5" w:rsidRDefault="00E054E5" w:rsidP="00E054E5">
            <w:pPr>
              <w:ind w:firstLine="567"/>
              <w:jc w:val="both"/>
            </w:pPr>
          </w:p>
        </w:tc>
        <w:tc>
          <w:tcPr>
            <w:tcW w:w="3108" w:type="dxa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Дата (период) совершения нарушения</w:t>
            </w:r>
          </w:p>
        </w:tc>
        <w:tc>
          <w:tcPr>
            <w:tcW w:w="5822" w:type="dxa"/>
          </w:tcPr>
          <w:p w:rsidR="00E054E5" w:rsidRPr="00E054E5" w:rsidRDefault="00E054E5" w:rsidP="00E054E5">
            <w:pPr>
              <w:ind w:firstLine="567"/>
              <w:jc w:val="center"/>
            </w:pPr>
            <w:r w:rsidRPr="00E054E5">
              <w:t>2021 год</w:t>
            </w:r>
          </w:p>
        </w:tc>
      </w:tr>
      <w:tr w:rsidR="00E054E5" w:rsidRPr="00E054E5" w:rsidTr="00D4222C">
        <w:trPr>
          <w:trHeight w:val="2604"/>
        </w:trPr>
        <w:tc>
          <w:tcPr>
            <w:tcW w:w="0" w:type="auto"/>
            <w:vMerge/>
            <w:hideMark/>
          </w:tcPr>
          <w:p w:rsidR="00E054E5" w:rsidRPr="00E054E5" w:rsidRDefault="00E054E5" w:rsidP="00E054E5">
            <w:pPr>
              <w:ind w:firstLine="567"/>
              <w:jc w:val="both"/>
            </w:pPr>
          </w:p>
        </w:tc>
        <w:tc>
          <w:tcPr>
            <w:tcW w:w="3108" w:type="dxa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E054E5" w:rsidRPr="00E054E5" w:rsidRDefault="00E054E5" w:rsidP="00E054E5">
            <w:pPr>
              <w:ind w:firstLine="567"/>
              <w:jc w:val="both"/>
              <w:rPr>
                <w:bCs/>
              </w:rPr>
            </w:pPr>
            <w:r w:rsidRPr="00E054E5">
              <w:rPr>
                <w:bCs/>
              </w:rPr>
              <w:t>Пункт 19 Приказа Минфина УР от 11.07.2018 № 8н "Об утверждении Регламента осуществления малых закупок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 (далее- модуль «Малые закупки»)"</w:t>
            </w:r>
          </w:p>
        </w:tc>
      </w:tr>
      <w:tr w:rsidR="00E054E5" w:rsidRPr="00E054E5" w:rsidTr="00D4222C">
        <w:trPr>
          <w:trHeight w:val="1434"/>
        </w:trPr>
        <w:tc>
          <w:tcPr>
            <w:tcW w:w="0" w:type="auto"/>
            <w:vMerge w:val="restart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lastRenderedPageBreak/>
              <w:t>6</w:t>
            </w:r>
          </w:p>
        </w:tc>
        <w:tc>
          <w:tcPr>
            <w:tcW w:w="3108" w:type="dxa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Содержание нарушения</w:t>
            </w:r>
          </w:p>
        </w:tc>
        <w:tc>
          <w:tcPr>
            <w:tcW w:w="5822" w:type="dxa"/>
          </w:tcPr>
          <w:p w:rsidR="00E054E5" w:rsidRPr="00E054E5" w:rsidRDefault="00E054E5" w:rsidP="00E054E5">
            <w:pPr>
              <w:ind w:firstLine="567"/>
              <w:jc w:val="both"/>
              <w:rPr>
                <w:bCs/>
              </w:rPr>
            </w:pPr>
            <w:r w:rsidRPr="00E054E5">
              <w:rPr>
                <w:bCs/>
              </w:rPr>
              <w:t>Размещение недостоверной информации в Отчёте об объёме закупок у субъектов малого предпринимательства, социально ориентированных некоммерческих организаций по итогам 2020 года, 2021 года</w:t>
            </w:r>
          </w:p>
        </w:tc>
      </w:tr>
      <w:tr w:rsidR="00E054E5" w:rsidRPr="00E054E5" w:rsidTr="00D4222C">
        <w:trPr>
          <w:trHeight w:val="716"/>
        </w:trPr>
        <w:tc>
          <w:tcPr>
            <w:tcW w:w="0" w:type="auto"/>
            <w:vMerge/>
            <w:hideMark/>
          </w:tcPr>
          <w:p w:rsidR="00E054E5" w:rsidRPr="00E054E5" w:rsidRDefault="00E054E5" w:rsidP="00E054E5">
            <w:pPr>
              <w:ind w:firstLine="567"/>
              <w:jc w:val="both"/>
            </w:pPr>
          </w:p>
        </w:tc>
        <w:tc>
          <w:tcPr>
            <w:tcW w:w="3108" w:type="dxa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Нарушение в денежном выражении</w:t>
            </w:r>
          </w:p>
        </w:tc>
        <w:tc>
          <w:tcPr>
            <w:tcW w:w="5822" w:type="dxa"/>
          </w:tcPr>
          <w:p w:rsidR="00E054E5" w:rsidRPr="00E054E5" w:rsidRDefault="00E054E5" w:rsidP="00E054E5">
            <w:pPr>
              <w:ind w:firstLine="567"/>
              <w:jc w:val="center"/>
              <w:rPr>
                <w:bCs/>
              </w:rPr>
            </w:pPr>
            <w:r w:rsidRPr="00E054E5">
              <w:rPr>
                <w:bCs/>
              </w:rPr>
              <w:t>-</w:t>
            </w:r>
          </w:p>
        </w:tc>
      </w:tr>
      <w:tr w:rsidR="00E054E5" w:rsidRPr="00E054E5" w:rsidTr="00D4222C">
        <w:trPr>
          <w:trHeight w:val="662"/>
        </w:trPr>
        <w:tc>
          <w:tcPr>
            <w:tcW w:w="0" w:type="auto"/>
            <w:vMerge/>
            <w:hideMark/>
          </w:tcPr>
          <w:p w:rsidR="00E054E5" w:rsidRPr="00E054E5" w:rsidRDefault="00E054E5" w:rsidP="00E054E5">
            <w:pPr>
              <w:ind w:firstLine="567"/>
              <w:jc w:val="both"/>
            </w:pPr>
          </w:p>
        </w:tc>
        <w:tc>
          <w:tcPr>
            <w:tcW w:w="3108" w:type="dxa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Дата (период) совершения нарушения</w:t>
            </w:r>
          </w:p>
        </w:tc>
        <w:tc>
          <w:tcPr>
            <w:tcW w:w="5822" w:type="dxa"/>
          </w:tcPr>
          <w:p w:rsidR="00E054E5" w:rsidRPr="00E054E5" w:rsidRDefault="00E054E5" w:rsidP="00E054E5">
            <w:pPr>
              <w:ind w:firstLine="567"/>
              <w:jc w:val="center"/>
              <w:rPr>
                <w:bCs/>
              </w:rPr>
            </w:pPr>
            <w:r w:rsidRPr="00E054E5">
              <w:rPr>
                <w:bCs/>
              </w:rPr>
              <w:t>2020 год, 2021 год</w:t>
            </w:r>
          </w:p>
        </w:tc>
      </w:tr>
      <w:tr w:rsidR="00E054E5" w:rsidRPr="00E054E5" w:rsidTr="00D4222C">
        <w:trPr>
          <w:trHeight w:val="2604"/>
        </w:trPr>
        <w:tc>
          <w:tcPr>
            <w:tcW w:w="0" w:type="auto"/>
            <w:vMerge/>
            <w:hideMark/>
          </w:tcPr>
          <w:p w:rsidR="00E054E5" w:rsidRPr="00E054E5" w:rsidRDefault="00E054E5" w:rsidP="00E054E5">
            <w:pPr>
              <w:ind w:firstLine="567"/>
              <w:jc w:val="both"/>
            </w:pPr>
          </w:p>
        </w:tc>
        <w:tc>
          <w:tcPr>
            <w:tcW w:w="3108" w:type="dxa"/>
            <w:hideMark/>
          </w:tcPr>
          <w:p w:rsidR="00E054E5" w:rsidRPr="00E054E5" w:rsidRDefault="00E054E5" w:rsidP="00E054E5">
            <w:pPr>
              <w:ind w:firstLine="567"/>
              <w:jc w:val="both"/>
            </w:pPr>
            <w:r w:rsidRPr="00E054E5"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E054E5" w:rsidRPr="00E054E5" w:rsidRDefault="00E054E5" w:rsidP="00E054E5">
            <w:pPr>
              <w:ind w:firstLine="567"/>
              <w:jc w:val="both"/>
              <w:rPr>
                <w:bCs/>
              </w:rPr>
            </w:pPr>
            <w:r w:rsidRPr="00E054E5">
              <w:rPr>
                <w:bCs/>
              </w:rPr>
              <w:t>п.3 Постановления Правительства РФ от 17.03.2015 № 238 "О порядке подготовки отчёта об объёме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финансирования"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B49" w:rsidRDefault="00FC5B49" w:rsidP="003B4E3C">
      <w:r>
        <w:separator/>
      </w:r>
    </w:p>
  </w:endnote>
  <w:endnote w:type="continuationSeparator" w:id="1">
    <w:p w:rsidR="00FC5B49" w:rsidRDefault="00FC5B49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8D2395">
        <w:pPr>
          <w:pStyle w:val="ae"/>
          <w:jc w:val="right"/>
        </w:pPr>
        <w:fldSimple w:instr=" PAGE   \* MERGEFORMAT ">
          <w:r w:rsidR="00E054E5">
            <w:rPr>
              <w:noProof/>
            </w:rPr>
            <w:t>3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B49" w:rsidRDefault="00FC5B49" w:rsidP="003B4E3C">
      <w:r>
        <w:separator/>
      </w:r>
    </w:p>
  </w:footnote>
  <w:footnote w:type="continuationSeparator" w:id="1">
    <w:p w:rsidR="00FC5B49" w:rsidRDefault="00FC5B49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239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054E5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C5B49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5500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144</cp:revision>
  <cp:lastPrinted>2019-02-28T07:49:00Z</cp:lastPrinted>
  <dcterms:created xsi:type="dcterms:W3CDTF">2015-10-09T06:44:00Z</dcterms:created>
  <dcterms:modified xsi:type="dcterms:W3CDTF">2022-06-30T06:56:00Z</dcterms:modified>
</cp:coreProperties>
</file>