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17A" w:rsidRPr="00C41E66" w:rsidRDefault="00C9517A" w:rsidP="00C9517A">
      <w:pPr>
        <w:jc w:val="center"/>
        <w:rPr>
          <w:sz w:val="26"/>
          <w:szCs w:val="26"/>
          <w:u w:val="single"/>
        </w:rPr>
      </w:pPr>
      <w:r w:rsidRPr="00C41E66">
        <w:rPr>
          <w:sz w:val="26"/>
          <w:szCs w:val="26"/>
          <w:u w:val="single"/>
        </w:rPr>
        <w:t>Муниципальное бюджетное учреждение культуры</w:t>
      </w:r>
    </w:p>
    <w:p w:rsidR="00C9517A" w:rsidRPr="00C41E66" w:rsidRDefault="00C9517A" w:rsidP="00C9517A">
      <w:pPr>
        <w:jc w:val="center"/>
        <w:rPr>
          <w:sz w:val="26"/>
          <w:szCs w:val="26"/>
          <w:u w:val="single"/>
        </w:rPr>
      </w:pPr>
      <w:r w:rsidRPr="00C41E66">
        <w:rPr>
          <w:sz w:val="26"/>
          <w:szCs w:val="26"/>
          <w:u w:val="single"/>
        </w:rPr>
        <w:t>«Централизованная клубная система Камбарского района»</w:t>
      </w:r>
    </w:p>
    <w:p w:rsidR="00E054E5" w:rsidRPr="000E6C4A" w:rsidRDefault="00E054E5" w:rsidP="00E054E5">
      <w:pPr>
        <w:ind w:right="-144" w:firstLine="567"/>
        <w:contextualSpacing/>
        <w:jc w:val="both"/>
      </w:pPr>
      <w:r w:rsidRPr="000E6C4A">
        <w:t xml:space="preserve">Управлением финансов </w:t>
      </w:r>
      <w:r>
        <w:t>А</w:t>
      </w:r>
      <w:r w:rsidRPr="000E6C4A">
        <w:t xml:space="preserve">дминистрации </w:t>
      </w:r>
      <w:r w:rsidRPr="00977D9F">
        <w:t xml:space="preserve">муниципального образования «Муниципальный округ Камбарский район Удмуртской Республики»  </w:t>
      </w:r>
      <w:r w:rsidRPr="000E6C4A">
        <w:t xml:space="preserve"> проведена плановая </w:t>
      </w:r>
      <w:r>
        <w:t>выездная</w:t>
      </w:r>
      <w:r w:rsidRPr="000E6C4A">
        <w:t xml:space="preserve"> проверка соблюдения требований законодательства Российской Федерации и иных нормативных правовых актов о контрактной системе в сфере закупок товаров, работ, услуг, в рамках полномочий, установленных частью </w:t>
      </w:r>
      <w:r>
        <w:t>3</w:t>
      </w:r>
      <w:r w:rsidRPr="000E6C4A">
        <w:t xml:space="preserve"> статьи 99 Федерального закона от 05 апреля 2013 года № 44-ФЗ "О контрактной системе в сфере закупок товаров, работ, услуг для обеспечения государственных и муниципальных нужд". </w:t>
      </w:r>
    </w:p>
    <w:p w:rsidR="00E054E5" w:rsidRDefault="00E054E5" w:rsidP="00E054E5">
      <w:pPr>
        <w:ind w:right="-144" w:firstLine="567"/>
        <w:contextualSpacing/>
        <w:jc w:val="both"/>
      </w:pPr>
      <w:r w:rsidRPr="000E6C4A">
        <w:t xml:space="preserve">    </w:t>
      </w:r>
      <w:r w:rsidRPr="00150FE4">
        <w:t>Проведени</w:t>
      </w:r>
      <w:r>
        <w:t>е</w:t>
      </w:r>
      <w:r w:rsidRPr="00150FE4">
        <w:t xml:space="preserve">   проверки   назначено   приказом </w:t>
      </w:r>
      <w:r>
        <w:t>У</w:t>
      </w:r>
      <w:r w:rsidRPr="00150FE4">
        <w:t xml:space="preserve">правления финансов </w:t>
      </w:r>
      <w:r>
        <w:t>А</w:t>
      </w:r>
      <w:r w:rsidRPr="00150FE4">
        <w:t xml:space="preserve">дминистрации </w:t>
      </w:r>
      <w:r w:rsidRPr="00977D9F">
        <w:t>муниципального образования «Муниципальный округ Камбарски</w:t>
      </w:r>
      <w:r>
        <w:t>й район Удмуртской Республики»</w:t>
      </w:r>
      <w:r w:rsidRPr="00150FE4">
        <w:t xml:space="preserve"> </w:t>
      </w:r>
      <w:r w:rsidRPr="00174360">
        <w:t xml:space="preserve">от </w:t>
      </w:r>
      <w:r w:rsidR="00C9517A">
        <w:t>26</w:t>
      </w:r>
      <w:r w:rsidRPr="00174360">
        <w:t xml:space="preserve"> </w:t>
      </w:r>
      <w:r w:rsidR="00C9517A">
        <w:t>августа</w:t>
      </w:r>
      <w:r w:rsidRPr="00174360">
        <w:t xml:space="preserve"> 202</w:t>
      </w:r>
      <w:r>
        <w:t>2</w:t>
      </w:r>
      <w:r w:rsidRPr="00174360">
        <w:t xml:space="preserve"> года №</w:t>
      </w:r>
      <w:r w:rsidR="00C9517A">
        <w:t>57</w:t>
      </w:r>
      <w:r>
        <w:t xml:space="preserve"> </w:t>
      </w:r>
      <w:r w:rsidRPr="00150FE4">
        <w:t xml:space="preserve">«О проведении контрольного мероприятия», в соответствии с пунктом </w:t>
      </w:r>
      <w:r w:rsidR="00C9517A">
        <w:t>3</w:t>
      </w:r>
      <w:r w:rsidRPr="00150FE4">
        <w:t xml:space="preserve"> плана контрольных мероприятий управления финансов </w:t>
      </w:r>
      <w:r>
        <w:t>А</w:t>
      </w:r>
      <w:r w:rsidRPr="00150FE4">
        <w:t xml:space="preserve">дминистрации </w:t>
      </w:r>
      <w:r w:rsidRPr="00977D9F">
        <w:t xml:space="preserve">муниципального образования «Муниципальный округ Камбарский район Удмуртской Республики»  </w:t>
      </w:r>
      <w:r w:rsidRPr="00150FE4">
        <w:t>на 202</w:t>
      </w:r>
      <w:r>
        <w:t>2</w:t>
      </w:r>
      <w:r w:rsidRPr="00150FE4">
        <w:t xml:space="preserve"> год, утвержденным приказом </w:t>
      </w:r>
      <w:r w:rsidRPr="00977D9F">
        <w:t>Управления финансов Администрации муниципального образования «Муниципальный округ Камбарский район Удмуртской Республики» от 30 декабря 2021 г. №20</w:t>
      </w:r>
      <w:r w:rsidRPr="00150FE4">
        <w:t>.</w:t>
      </w:r>
    </w:p>
    <w:p w:rsidR="0005220A" w:rsidRDefault="0005220A" w:rsidP="0005220A">
      <w:pPr>
        <w:ind w:right="-144" w:firstLine="567"/>
        <w:contextualSpacing/>
        <w:jc w:val="both"/>
      </w:pPr>
      <w:r w:rsidRPr="000E6C4A">
        <w:t xml:space="preserve">    </w:t>
      </w:r>
      <w:r>
        <w:t>Акт проверки №</w:t>
      </w:r>
      <w:r w:rsidR="00C9517A">
        <w:t>7</w:t>
      </w:r>
      <w:r>
        <w:t xml:space="preserve"> от </w:t>
      </w:r>
      <w:r w:rsidR="00C9517A">
        <w:t>26</w:t>
      </w:r>
      <w:r>
        <w:t>.</w:t>
      </w:r>
      <w:r w:rsidR="00C81251">
        <w:t>0</w:t>
      </w:r>
      <w:r w:rsidR="00C9517A">
        <w:t>9</w:t>
      </w:r>
      <w:r>
        <w:t>.202</w:t>
      </w:r>
      <w:r w:rsidR="00C81251">
        <w:t>2</w:t>
      </w:r>
      <w:r>
        <w:t xml:space="preserve"> года</w:t>
      </w:r>
    </w:p>
    <w:p w:rsidR="0005220A" w:rsidRDefault="0005220A" w:rsidP="0005220A">
      <w:pPr>
        <w:ind w:firstLine="567"/>
        <w:jc w:val="both"/>
      </w:pPr>
      <w:r w:rsidRPr="00DC2086">
        <w:t>В ходе контрольного мероприятия выявлены следующие нарушения</w:t>
      </w:r>
      <w:r>
        <w:t>:</w:t>
      </w:r>
    </w:p>
    <w:tbl>
      <w:tblPr>
        <w:tblStyle w:val="a6"/>
        <w:tblW w:w="9398" w:type="dxa"/>
        <w:tblInd w:w="66" w:type="dxa"/>
        <w:tblLook w:val="04A0"/>
      </w:tblPr>
      <w:tblGrid>
        <w:gridCol w:w="468"/>
        <w:gridCol w:w="3108"/>
        <w:gridCol w:w="5822"/>
      </w:tblGrid>
      <w:tr w:rsidR="00C9517A" w:rsidTr="00A36ADF">
        <w:trPr>
          <w:trHeight w:val="220"/>
        </w:trPr>
        <w:tc>
          <w:tcPr>
            <w:tcW w:w="468" w:type="dxa"/>
            <w:vMerge w:val="restart"/>
            <w:tcBorders>
              <w:left w:val="single" w:sz="12" w:space="0" w:color="auto"/>
            </w:tcBorders>
            <w:vAlign w:val="center"/>
          </w:tcPr>
          <w:p w:rsidR="00C9517A" w:rsidRDefault="00C9517A" w:rsidP="00A36A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08" w:type="dxa"/>
            <w:tcBorders>
              <w:top w:val="single" w:sz="12" w:space="0" w:color="auto"/>
            </w:tcBorders>
            <w:vAlign w:val="center"/>
            <w:hideMark/>
          </w:tcPr>
          <w:p w:rsidR="00C9517A" w:rsidRDefault="00C9517A" w:rsidP="00A36A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нарушения</w:t>
            </w:r>
          </w:p>
        </w:tc>
        <w:tc>
          <w:tcPr>
            <w:tcW w:w="5822" w:type="dxa"/>
            <w:tcBorders>
              <w:top w:val="single" w:sz="12" w:space="0" w:color="auto"/>
              <w:right w:val="single" w:sz="12" w:space="0" w:color="auto"/>
            </w:tcBorders>
          </w:tcPr>
          <w:p w:rsidR="00C9517A" w:rsidRPr="007443CB" w:rsidRDefault="00C9517A" w:rsidP="00A36A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7443CB">
              <w:rPr>
                <w:sz w:val="24"/>
                <w:szCs w:val="24"/>
              </w:rPr>
              <w:t xml:space="preserve"> 2020 получены услуги на сумму 609329,68 руб. превышающую сумму договора с Удмуртский филиал АО "ЭнергосбыТ Плюс" №К8407 от 30.01.2020 г. на сумму 863357,24 руб.</w:t>
            </w:r>
          </w:p>
          <w:p w:rsidR="00C9517A" w:rsidRPr="00CD7434" w:rsidRDefault="00C9517A" w:rsidP="00A36A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7443CB">
              <w:rPr>
                <w:sz w:val="24"/>
                <w:szCs w:val="24"/>
              </w:rPr>
              <w:t xml:space="preserve"> 2021 году получены услуги на сумму 26715,85 руб. превышающую сумму договора с ООО "КамбаркаТеплоЭнерго" №29 от 28.01.2021 г.</w:t>
            </w:r>
          </w:p>
        </w:tc>
      </w:tr>
      <w:tr w:rsidR="00C9517A" w:rsidTr="00A36ADF">
        <w:trPr>
          <w:trHeight w:val="220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  <w:hideMark/>
          </w:tcPr>
          <w:p w:rsidR="00C9517A" w:rsidRDefault="00C9517A" w:rsidP="00A36A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vAlign w:val="center"/>
            <w:hideMark/>
          </w:tcPr>
          <w:p w:rsidR="00C9517A" w:rsidRDefault="00C9517A" w:rsidP="00A36A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Нарушение в денежном выражении</w:t>
            </w:r>
          </w:p>
        </w:tc>
        <w:tc>
          <w:tcPr>
            <w:tcW w:w="5822" w:type="dxa"/>
            <w:tcBorders>
              <w:right w:val="single" w:sz="12" w:space="0" w:color="auto"/>
            </w:tcBorders>
            <w:vAlign w:val="center"/>
          </w:tcPr>
          <w:p w:rsidR="00C9517A" w:rsidRPr="00343669" w:rsidRDefault="00C9517A" w:rsidP="00A36ADF">
            <w:pPr>
              <w:autoSpaceDE w:val="0"/>
              <w:autoSpaceDN w:val="0"/>
              <w:adjustRightInd w:val="0"/>
              <w:ind w:firstLine="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636,05 тыс. руб.</w:t>
            </w:r>
          </w:p>
        </w:tc>
      </w:tr>
      <w:tr w:rsidR="00C9517A" w:rsidTr="00A36ADF">
        <w:trPr>
          <w:trHeight w:val="220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  <w:hideMark/>
          </w:tcPr>
          <w:p w:rsidR="00C9517A" w:rsidRDefault="00C9517A" w:rsidP="00A36A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vAlign w:val="center"/>
            <w:hideMark/>
          </w:tcPr>
          <w:p w:rsidR="00C9517A" w:rsidRDefault="00C9517A" w:rsidP="00A36A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(период) совершения нарушения</w:t>
            </w:r>
          </w:p>
        </w:tc>
        <w:tc>
          <w:tcPr>
            <w:tcW w:w="5822" w:type="dxa"/>
            <w:tcBorders>
              <w:right w:val="single" w:sz="12" w:space="0" w:color="auto"/>
            </w:tcBorders>
            <w:vAlign w:val="center"/>
          </w:tcPr>
          <w:p w:rsidR="00C9517A" w:rsidRPr="00071213" w:rsidRDefault="00C9517A" w:rsidP="00A36A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2020 год, </w:t>
            </w:r>
            <w:r w:rsidRPr="00071213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071213">
              <w:rPr>
                <w:sz w:val="24"/>
                <w:szCs w:val="24"/>
              </w:rPr>
              <w:t xml:space="preserve"> год</w:t>
            </w:r>
          </w:p>
        </w:tc>
      </w:tr>
      <w:tr w:rsidR="00C9517A" w:rsidTr="00A36ADF">
        <w:trPr>
          <w:trHeight w:val="220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  <w:hideMark/>
          </w:tcPr>
          <w:p w:rsidR="00C9517A" w:rsidRDefault="00C9517A" w:rsidP="00A36A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tcBorders>
              <w:bottom w:val="single" w:sz="12" w:space="0" w:color="auto"/>
            </w:tcBorders>
            <w:vAlign w:val="center"/>
            <w:hideMark/>
          </w:tcPr>
          <w:p w:rsidR="00C9517A" w:rsidRDefault="00C9517A" w:rsidP="00A36A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Нарушенные положения нормативных правовых актов и иных документов, являющихся правовым основанием предоставления средств</w:t>
            </w:r>
          </w:p>
        </w:tc>
        <w:tc>
          <w:tcPr>
            <w:tcW w:w="5822" w:type="dxa"/>
            <w:tcBorders>
              <w:right w:val="single" w:sz="12" w:space="0" w:color="auto"/>
            </w:tcBorders>
          </w:tcPr>
          <w:p w:rsidR="00C9517A" w:rsidRDefault="00C9517A" w:rsidP="00A36ADF">
            <w:pPr>
              <w:ind w:firstLine="4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Часть 1 статья</w:t>
            </w:r>
            <w:r w:rsidRPr="00CC0345">
              <w:rPr>
                <w:sz w:val="24"/>
                <w:szCs w:val="24"/>
              </w:rPr>
              <w:t xml:space="preserve"> 16 Федерального закона №44-ФЗ </w:t>
            </w:r>
          </w:p>
          <w:p w:rsidR="00C9517A" w:rsidRDefault="00C9517A" w:rsidP="00A36ADF">
            <w:pPr>
              <w:ind w:firstLine="44"/>
              <w:jc w:val="both"/>
              <w:rPr>
                <w:sz w:val="24"/>
                <w:szCs w:val="24"/>
              </w:rPr>
            </w:pPr>
          </w:p>
          <w:p w:rsidR="00C9517A" w:rsidRDefault="00C9517A" w:rsidP="00A36ADF">
            <w:pPr>
              <w:ind w:firstLine="44"/>
              <w:jc w:val="both"/>
              <w:rPr>
                <w:sz w:val="24"/>
                <w:szCs w:val="24"/>
              </w:rPr>
            </w:pPr>
          </w:p>
          <w:p w:rsidR="00C9517A" w:rsidRDefault="00C9517A" w:rsidP="00A36ADF">
            <w:pPr>
              <w:ind w:firstLine="44"/>
              <w:jc w:val="both"/>
              <w:rPr>
                <w:sz w:val="24"/>
                <w:szCs w:val="24"/>
              </w:rPr>
            </w:pPr>
          </w:p>
          <w:p w:rsidR="00C9517A" w:rsidRDefault="00C9517A" w:rsidP="00A36ADF">
            <w:pPr>
              <w:ind w:firstLine="44"/>
              <w:jc w:val="both"/>
              <w:rPr>
                <w:sz w:val="24"/>
                <w:szCs w:val="24"/>
              </w:rPr>
            </w:pPr>
          </w:p>
        </w:tc>
      </w:tr>
      <w:tr w:rsidR="00C9517A" w:rsidTr="00A36ADF">
        <w:trPr>
          <w:trHeight w:val="220"/>
        </w:trPr>
        <w:tc>
          <w:tcPr>
            <w:tcW w:w="0" w:type="auto"/>
            <w:vMerge w:val="restart"/>
            <w:tcBorders>
              <w:left w:val="single" w:sz="12" w:space="0" w:color="auto"/>
            </w:tcBorders>
            <w:vAlign w:val="center"/>
            <w:hideMark/>
          </w:tcPr>
          <w:p w:rsidR="00C9517A" w:rsidRDefault="00C9517A" w:rsidP="00A36A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08" w:type="dxa"/>
            <w:tcBorders>
              <w:bottom w:val="single" w:sz="12" w:space="0" w:color="auto"/>
            </w:tcBorders>
            <w:vAlign w:val="center"/>
            <w:hideMark/>
          </w:tcPr>
          <w:p w:rsidR="00C9517A" w:rsidRDefault="00C9517A" w:rsidP="00A36A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нарушения</w:t>
            </w:r>
          </w:p>
        </w:tc>
        <w:tc>
          <w:tcPr>
            <w:tcW w:w="5822" w:type="dxa"/>
            <w:tcBorders>
              <w:right w:val="single" w:sz="12" w:space="0" w:color="auto"/>
            </w:tcBorders>
          </w:tcPr>
          <w:p w:rsidR="00C9517A" w:rsidRDefault="00C9517A" w:rsidP="00A36ADF">
            <w:pPr>
              <w:ind w:firstLine="4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7443CB">
              <w:rPr>
                <w:sz w:val="24"/>
                <w:szCs w:val="24"/>
              </w:rPr>
              <w:t>аключены 2 контра</w:t>
            </w:r>
            <w:r>
              <w:rPr>
                <w:sz w:val="24"/>
                <w:szCs w:val="24"/>
              </w:rPr>
              <w:t>кта на общую сумму 8280,00 руб.</w:t>
            </w:r>
            <w:r w:rsidRPr="007443CB">
              <w:rPr>
                <w:sz w:val="24"/>
                <w:szCs w:val="24"/>
              </w:rPr>
              <w:t xml:space="preserve"> за счет субсидий, предоставленных из бюджетов бюджетной системы,  в преамбуле которых содержатся сведения о соответствии их  требованиям Федерального закона № 223-ФЗ</w:t>
            </w:r>
          </w:p>
        </w:tc>
      </w:tr>
      <w:tr w:rsidR="00C9517A" w:rsidTr="00A36ADF">
        <w:trPr>
          <w:trHeight w:val="220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  <w:hideMark/>
          </w:tcPr>
          <w:p w:rsidR="00C9517A" w:rsidRDefault="00C9517A" w:rsidP="00A36A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tcBorders>
              <w:bottom w:val="single" w:sz="12" w:space="0" w:color="auto"/>
            </w:tcBorders>
            <w:vAlign w:val="center"/>
            <w:hideMark/>
          </w:tcPr>
          <w:p w:rsidR="00C9517A" w:rsidRDefault="00C9517A" w:rsidP="00A36A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Нарушение в денежном выражении</w:t>
            </w:r>
          </w:p>
        </w:tc>
        <w:tc>
          <w:tcPr>
            <w:tcW w:w="5822" w:type="dxa"/>
            <w:tcBorders>
              <w:right w:val="single" w:sz="12" w:space="0" w:color="auto"/>
            </w:tcBorders>
          </w:tcPr>
          <w:p w:rsidR="00C9517A" w:rsidRDefault="00C9517A" w:rsidP="00A36ADF">
            <w:pPr>
              <w:ind w:firstLine="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8,28 тыс. руб.</w:t>
            </w:r>
          </w:p>
        </w:tc>
      </w:tr>
      <w:tr w:rsidR="00C9517A" w:rsidTr="00A36ADF">
        <w:trPr>
          <w:trHeight w:val="220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  <w:hideMark/>
          </w:tcPr>
          <w:p w:rsidR="00C9517A" w:rsidRDefault="00C9517A" w:rsidP="00A36A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tcBorders>
              <w:bottom w:val="single" w:sz="12" w:space="0" w:color="auto"/>
            </w:tcBorders>
            <w:vAlign w:val="center"/>
            <w:hideMark/>
          </w:tcPr>
          <w:p w:rsidR="00C9517A" w:rsidRDefault="00C9517A" w:rsidP="00A36A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(период) совершения нарушения</w:t>
            </w:r>
          </w:p>
        </w:tc>
        <w:tc>
          <w:tcPr>
            <w:tcW w:w="5822" w:type="dxa"/>
            <w:tcBorders>
              <w:right w:val="single" w:sz="12" w:space="0" w:color="auto"/>
            </w:tcBorders>
          </w:tcPr>
          <w:p w:rsidR="00C9517A" w:rsidRDefault="00C9517A" w:rsidP="00A36ADF">
            <w:pPr>
              <w:ind w:firstLine="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</w:t>
            </w:r>
          </w:p>
        </w:tc>
      </w:tr>
      <w:tr w:rsidR="00C9517A" w:rsidTr="00A36ADF">
        <w:trPr>
          <w:trHeight w:val="220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  <w:hideMark/>
          </w:tcPr>
          <w:p w:rsidR="00C9517A" w:rsidRDefault="00C9517A" w:rsidP="00A36A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tcBorders>
              <w:bottom w:val="single" w:sz="12" w:space="0" w:color="auto"/>
            </w:tcBorders>
            <w:vAlign w:val="center"/>
            <w:hideMark/>
          </w:tcPr>
          <w:p w:rsidR="00C9517A" w:rsidRDefault="00C9517A" w:rsidP="00A36A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Нарушенные положения нормативных правовых актов и иных документов, являющихся правовым основанием предоставления средств</w:t>
            </w:r>
          </w:p>
        </w:tc>
        <w:tc>
          <w:tcPr>
            <w:tcW w:w="5822" w:type="dxa"/>
            <w:tcBorders>
              <w:right w:val="single" w:sz="12" w:space="0" w:color="auto"/>
            </w:tcBorders>
          </w:tcPr>
          <w:p w:rsidR="00C9517A" w:rsidRDefault="00C9517A" w:rsidP="00A36ADF">
            <w:pPr>
              <w:ind w:firstLine="4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Часть</w:t>
            </w:r>
            <w:r w:rsidRPr="007443CB">
              <w:rPr>
                <w:sz w:val="24"/>
                <w:szCs w:val="24"/>
              </w:rPr>
              <w:t xml:space="preserve"> 1 </w:t>
            </w:r>
            <w:r>
              <w:rPr>
                <w:sz w:val="24"/>
                <w:szCs w:val="24"/>
              </w:rPr>
              <w:t>статья</w:t>
            </w:r>
            <w:r w:rsidRPr="007443CB">
              <w:rPr>
                <w:sz w:val="24"/>
                <w:szCs w:val="24"/>
              </w:rPr>
              <w:t xml:space="preserve"> 15 Федерального закона №44-ФЗ</w:t>
            </w:r>
          </w:p>
        </w:tc>
      </w:tr>
      <w:tr w:rsidR="00C9517A" w:rsidTr="00A36ADF">
        <w:trPr>
          <w:trHeight w:val="220"/>
        </w:trPr>
        <w:tc>
          <w:tcPr>
            <w:tcW w:w="0" w:type="auto"/>
            <w:vMerge w:val="restart"/>
            <w:tcBorders>
              <w:left w:val="single" w:sz="12" w:space="0" w:color="auto"/>
            </w:tcBorders>
            <w:vAlign w:val="center"/>
            <w:hideMark/>
          </w:tcPr>
          <w:p w:rsidR="00C9517A" w:rsidRDefault="00C9517A" w:rsidP="00A36A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08" w:type="dxa"/>
            <w:tcBorders>
              <w:bottom w:val="single" w:sz="12" w:space="0" w:color="auto"/>
            </w:tcBorders>
            <w:vAlign w:val="center"/>
            <w:hideMark/>
          </w:tcPr>
          <w:p w:rsidR="00C9517A" w:rsidRDefault="00C9517A" w:rsidP="00A36A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нарушения</w:t>
            </w:r>
          </w:p>
        </w:tc>
        <w:tc>
          <w:tcPr>
            <w:tcW w:w="5822" w:type="dxa"/>
            <w:tcBorders>
              <w:right w:val="single" w:sz="12" w:space="0" w:color="auto"/>
            </w:tcBorders>
          </w:tcPr>
          <w:p w:rsidR="00C9517A" w:rsidRDefault="00C9517A" w:rsidP="00A36ADF">
            <w:pPr>
              <w:tabs>
                <w:tab w:val="left" w:pos="1216"/>
              </w:tabs>
              <w:ind w:firstLine="4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EA3207">
              <w:rPr>
                <w:sz w:val="24"/>
                <w:szCs w:val="24"/>
              </w:rPr>
              <w:t>метные документации (Приложени</w:t>
            </w:r>
            <w:r>
              <w:rPr>
                <w:sz w:val="24"/>
                <w:szCs w:val="24"/>
              </w:rPr>
              <w:t>я</w:t>
            </w:r>
            <w:r w:rsidRPr="00EA3207">
              <w:rPr>
                <w:sz w:val="24"/>
                <w:szCs w:val="24"/>
              </w:rPr>
              <w:t xml:space="preserve"> №1 к контрактам</w:t>
            </w:r>
            <w:r>
              <w:rPr>
                <w:sz w:val="24"/>
                <w:szCs w:val="24"/>
              </w:rPr>
              <w:t xml:space="preserve"> </w:t>
            </w:r>
            <w:r w:rsidRPr="00EA3207">
              <w:rPr>
                <w:sz w:val="24"/>
                <w:szCs w:val="24"/>
              </w:rPr>
              <w:t xml:space="preserve">№0813500000120002400 от 06.04.2020 г. с ИП </w:t>
            </w:r>
            <w:r>
              <w:rPr>
                <w:sz w:val="24"/>
                <w:szCs w:val="24"/>
              </w:rPr>
              <w:t xml:space="preserve">Судаков на сумму 471515,08 руб., </w:t>
            </w:r>
            <w:r w:rsidRPr="00EA3207">
              <w:rPr>
                <w:sz w:val="24"/>
                <w:szCs w:val="24"/>
              </w:rPr>
              <w:t xml:space="preserve"> №0813500000120002228 от 06.04.2020 г. с ООО «АС-</w:t>
            </w:r>
            <w:r w:rsidRPr="00EA3207">
              <w:rPr>
                <w:sz w:val="24"/>
                <w:szCs w:val="24"/>
              </w:rPr>
              <w:lastRenderedPageBreak/>
              <w:t>Строй» на сумму 693333,13 руб.</w:t>
            </w:r>
            <w:r>
              <w:rPr>
                <w:sz w:val="24"/>
                <w:szCs w:val="24"/>
              </w:rPr>
              <w:t>,</w:t>
            </w:r>
            <w:r w:rsidRPr="00EA3207">
              <w:rPr>
                <w:sz w:val="24"/>
                <w:szCs w:val="24"/>
              </w:rPr>
              <w:t xml:space="preserve">  №зз-05759-2021 от 12.03.2021 г. с ИП Судаков на сумму 446420,00 руб.</w:t>
            </w:r>
            <w:r>
              <w:rPr>
                <w:sz w:val="24"/>
                <w:szCs w:val="24"/>
              </w:rPr>
              <w:t>,</w:t>
            </w:r>
            <w:r w:rsidRPr="00EA3207">
              <w:rPr>
                <w:sz w:val="24"/>
                <w:szCs w:val="24"/>
              </w:rPr>
              <w:t xml:space="preserve"> №зз-07342-2021 от 15.03.2021 г. с ИП Салахетдинов на сумму 1275456,00 руб.), являющиеся неотъемлемой их частью (согласно п. 12.12 контрактов), с учетом понижения цен в реестре контрактов в информации о заключенных контрактах на официальном сайте не размещены, к проверке не представлены</w:t>
            </w:r>
          </w:p>
        </w:tc>
      </w:tr>
      <w:tr w:rsidR="00C9517A" w:rsidTr="00A36ADF">
        <w:trPr>
          <w:trHeight w:val="220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  <w:hideMark/>
          </w:tcPr>
          <w:p w:rsidR="00C9517A" w:rsidRDefault="00C9517A" w:rsidP="00A36A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tcBorders>
              <w:bottom w:val="single" w:sz="12" w:space="0" w:color="auto"/>
            </w:tcBorders>
            <w:vAlign w:val="center"/>
            <w:hideMark/>
          </w:tcPr>
          <w:p w:rsidR="00C9517A" w:rsidRDefault="00C9517A" w:rsidP="00A36A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Нарушение в денежном выражении</w:t>
            </w:r>
          </w:p>
        </w:tc>
        <w:tc>
          <w:tcPr>
            <w:tcW w:w="5822" w:type="dxa"/>
            <w:tcBorders>
              <w:right w:val="single" w:sz="12" w:space="0" w:color="auto"/>
            </w:tcBorders>
          </w:tcPr>
          <w:p w:rsidR="00C9517A" w:rsidRDefault="00C9517A" w:rsidP="00A36ADF">
            <w:pPr>
              <w:ind w:firstLine="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год, 2021 год</w:t>
            </w:r>
          </w:p>
        </w:tc>
      </w:tr>
      <w:tr w:rsidR="00C9517A" w:rsidTr="00A36ADF">
        <w:trPr>
          <w:trHeight w:val="220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  <w:hideMark/>
          </w:tcPr>
          <w:p w:rsidR="00C9517A" w:rsidRDefault="00C9517A" w:rsidP="00A36A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tcBorders>
              <w:bottom w:val="single" w:sz="12" w:space="0" w:color="auto"/>
            </w:tcBorders>
            <w:vAlign w:val="center"/>
            <w:hideMark/>
          </w:tcPr>
          <w:p w:rsidR="00C9517A" w:rsidRDefault="00C9517A" w:rsidP="00A36A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(период) совершения нарушения</w:t>
            </w:r>
          </w:p>
        </w:tc>
        <w:tc>
          <w:tcPr>
            <w:tcW w:w="5822" w:type="dxa"/>
            <w:tcBorders>
              <w:right w:val="single" w:sz="12" w:space="0" w:color="auto"/>
            </w:tcBorders>
          </w:tcPr>
          <w:p w:rsidR="00C9517A" w:rsidRDefault="00C9517A" w:rsidP="00A36ADF">
            <w:pPr>
              <w:ind w:firstLine="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9517A" w:rsidTr="00A36ADF">
        <w:trPr>
          <w:trHeight w:val="220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  <w:hideMark/>
          </w:tcPr>
          <w:p w:rsidR="00C9517A" w:rsidRDefault="00C9517A" w:rsidP="00A36A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tcBorders>
              <w:bottom w:val="single" w:sz="12" w:space="0" w:color="auto"/>
            </w:tcBorders>
            <w:vAlign w:val="center"/>
            <w:hideMark/>
          </w:tcPr>
          <w:p w:rsidR="00C9517A" w:rsidRDefault="00C9517A" w:rsidP="00A36A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Нарушенные положения нормативных правовых актов и иных документов, являющихся правовым основанием предоставления средств</w:t>
            </w:r>
          </w:p>
        </w:tc>
        <w:tc>
          <w:tcPr>
            <w:tcW w:w="5822" w:type="dxa"/>
            <w:tcBorders>
              <w:right w:val="single" w:sz="12" w:space="0" w:color="auto"/>
            </w:tcBorders>
          </w:tcPr>
          <w:p w:rsidR="00C9517A" w:rsidRDefault="00C9517A" w:rsidP="00A36ADF">
            <w:pPr>
              <w:ind w:firstLine="4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Часть</w:t>
            </w:r>
            <w:r w:rsidRPr="007443C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 w:rsidRPr="007443C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статья</w:t>
            </w:r>
            <w:r w:rsidRPr="007443CB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>03</w:t>
            </w:r>
            <w:r w:rsidRPr="007443CB">
              <w:rPr>
                <w:sz w:val="24"/>
                <w:szCs w:val="24"/>
              </w:rPr>
              <w:t xml:space="preserve"> Федерального закона №44-ФЗ</w:t>
            </w:r>
          </w:p>
        </w:tc>
      </w:tr>
      <w:tr w:rsidR="00C9517A" w:rsidTr="00A36ADF">
        <w:trPr>
          <w:trHeight w:val="220"/>
        </w:trPr>
        <w:tc>
          <w:tcPr>
            <w:tcW w:w="46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9517A" w:rsidRDefault="00C9517A" w:rsidP="00A36A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08" w:type="dxa"/>
            <w:tcBorders>
              <w:top w:val="single" w:sz="12" w:space="0" w:color="auto"/>
            </w:tcBorders>
            <w:vAlign w:val="center"/>
            <w:hideMark/>
          </w:tcPr>
          <w:p w:rsidR="00C9517A" w:rsidRDefault="00C9517A" w:rsidP="00A36A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нарушения</w:t>
            </w:r>
          </w:p>
          <w:p w:rsidR="00C9517A" w:rsidRDefault="00C9517A" w:rsidP="00A36ADF">
            <w:pPr>
              <w:rPr>
                <w:sz w:val="24"/>
                <w:szCs w:val="24"/>
              </w:rPr>
            </w:pPr>
          </w:p>
        </w:tc>
        <w:tc>
          <w:tcPr>
            <w:tcW w:w="582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9517A" w:rsidRPr="003C72C3" w:rsidRDefault="00C9517A" w:rsidP="003C72C3">
            <w:pPr>
              <w:pStyle w:val="a7"/>
              <w:tabs>
                <w:tab w:val="left" w:pos="709"/>
              </w:tabs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2C3">
              <w:rPr>
                <w:rFonts w:ascii="Times New Roman" w:hAnsi="Times New Roman"/>
                <w:bCs/>
                <w:sz w:val="24"/>
                <w:szCs w:val="24"/>
              </w:rPr>
              <w:t>Необоснованное изменение существенных условий 5 контрактов:</w:t>
            </w:r>
          </w:p>
          <w:p w:rsidR="00C9517A" w:rsidRPr="003C72C3" w:rsidRDefault="00C9517A" w:rsidP="003C72C3">
            <w:pPr>
              <w:pStyle w:val="a7"/>
              <w:tabs>
                <w:tab w:val="left" w:pos="709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2C3">
              <w:rPr>
                <w:rFonts w:ascii="Times New Roman" w:hAnsi="Times New Roman" w:cs="Times New Roman"/>
                <w:sz w:val="24"/>
                <w:szCs w:val="24"/>
              </w:rPr>
              <w:t>- №0813500000120002400 от 06.04.2020 г. с ИП Судаков на сумму 471515,08 руб.;</w:t>
            </w:r>
          </w:p>
          <w:p w:rsidR="00C9517A" w:rsidRPr="003C72C3" w:rsidRDefault="00C9517A" w:rsidP="003C72C3">
            <w:pPr>
              <w:pStyle w:val="a7"/>
              <w:tabs>
                <w:tab w:val="left" w:pos="709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2C3">
              <w:rPr>
                <w:rFonts w:ascii="Times New Roman" w:hAnsi="Times New Roman" w:cs="Times New Roman"/>
                <w:sz w:val="24"/>
                <w:szCs w:val="24"/>
              </w:rPr>
              <w:t>- №0813500000120002228 от 06.04.2020 г. с ООО «АС-Строй» на сумму 693333,13 руб.;</w:t>
            </w:r>
          </w:p>
          <w:p w:rsidR="00C9517A" w:rsidRPr="003C72C3" w:rsidRDefault="00C9517A" w:rsidP="003C72C3">
            <w:pPr>
              <w:pStyle w:val="a7"/>
              <w:tabs>
                <w:tab w:val="left" w:pos="709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2C3">
              <w:rPr>
                <w:rFonts w:ascii="Times New Roman" w:hAnsi="Times New Roman" w:cs="Times New Roman"/>
                <w:sz w:val="24"/>
                <w:szCs w:val="24"/>
              </w:rPr>
              <w:t>- №зз-07342-2021 от 15.03.2021 г. с ИП Салахетдинов на сумму 1275456,00 руб.</w:t>
            </w:r>
          </w:p>
          <w:p w:rsidR="00C9517A" w:rsidRPr="003C72C3" w:rsidRDefault="00C9517A" w:rsidP="003C72C3">
            <w:pPr>
              <w:pStyle w:val="a7"/>
              <w:tabs>
                <w:tab w:val="left" w:pos="709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2C3">
              <w:rPr>
                <w:rFonts w:ascii="Times New Roman" w:hAnsi="Times New Roman" w:cs="Times New Roman"/>
                <w:sz w:val="24"/>
                <w:szCs w:val="24"/>
              </w:rPr>
              <w:t>- №зз-05759-2021 от 12.03.2021 г. с ИП Судаков на сумму 446420,00 руб.;</w:t>
            </w:r>
          </w:p>
          <w:p w:rsidR="00C9517A" w:rsidRPr="00C73B31" w:rsidRDefault="00C9517A" w:rsidP="003C72C3">
            <w:pPr>
              <w:pStyle w:val="a7"/>
              <w:tabs>
                <w:tab w:val="left" w:pos="709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2C3">
              <w:rPr>
                <w:rFonts w:ascii="Times New Roman" w:hAnsi="Times New Roman" w:cs="Times New Roman"/>
                <w:sz w:val="24"/>
                <w:szCs w:val="24"/>
              </w:rPr>
              <w:t>- ООО «ЛУКОЙЛ-Интер-Кард» №мз-2020-3-044-090481 от 17.08.20 г. на сумму 53136,00 руб.</w:t>
            </w:r>
          </w:p>
        </w:tc>
      </w:tr>
      <w:tr w:rsidR="00C9517A" w:rsidTr="00A36ADF">
        <w:trPr>
          <w:trHeight w:val="220"/>
        </w:trPr>
        <w:tc>
          <w:tcPr>
            <w:tcW w:w="468" w:type="dxa"/>
            <w:vMerge/>
            <w:tcBorders>
              <w:left w:val="single" w:sz="12" w:space="0" w:color="auto"/>
            </w:tcBorders>
            <w:vAlign w:val="center"/>
          </w:tcPr>
          <w:p w:rsidR="00C9517A" w:rsidRDefault="00C9517A" w:rsidP="00A36A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vAlign w:val="center"/>
            <w:hideMark/>
          </w:tcPr>
          <w:p w:rsidR="00C9517A" w:rsidRDefault="00C9517A" w:rsidP="00A36A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Нарушение в денежном выражении</w:t>
            </w:r>
          </w:p>
        </w:tc>
        <w:tc>
          <w:tcPr>
            <w:tcW w:w="582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9517A" w:rsidRDefault="00C9517A" w:rsidP="00A36ADF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C9517A" w:rsidTr="00A36ADF">
        <w:trPr>
          <w:trHeight w:val="220"/>
        </w:trPr>
        <w:tc>
          <w:tcPr>
            <w:tcW w:w="468" w:type="dxa"/>
            <w:vMerge/>
            <w:tcBorders>
              <w:left w:val="single" w:sz="12" w:space="0" w:color="auto"/>
            </w:tcBorders>
            <w:vAlign w:val="center"/>
          </w:tcPr>
          <w:p w:rsidR="00C9517A" w:rsidRDefault="00C9517A" w:rsidP="00A36A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vAlign w:val="center"/>
            <w:hideMark/>
          </w:tcPr>
          <w:p w:rsidR="00C9517A" w:rsidRDefault="00C9517A" w:rsidP="00A36A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(период) совершения нарушения</w:t>
            </w:r>
          </w:p>
          <w:p w:rsidR="00C9517A" w:rsidRDefault="00C9517A" w:rsidP="00A36ADF">
            <w:pPr>
              <w:rPr>
                <w:sz w:val="24"/>
                <w:szCs w:val="24"/>
              </w:rPr>
            </w:pPr>
          </w:p>
        </w:tc>
        <w:tc>
          <w:tcPr>
            <w:tcW w:w="582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9517A" w:rsidRDefault="00C9517A" w:rsidP="00A36ADF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2020 год, </w:t>
            </w:r>
            <w:r w:rsidRPr="00961EEC">
              <w:rPr>
                <w:rFonts w:eastAsia="Calibri"/>
                <w:sz w:val="24"/>
                <w:szCs w:val="24"/>
              </w:rPr>
              <w:t>20</w:t>
            </w:r>
            <w:r>
              <w:rPr>
                <w:rFonts w:eastAsia="Calibri"/>
                <w:sz w:val="24"/>
                <w:szCs w:val="24"/>
              </w:rPr>
              <w:t>21</w:t>
            </w:r>
            <w:r w:rsidRPr="00961EEC">
              <w:rPr>
                <w:rFonts w:eastAsia="Calibri"/>
                <w:sz w:val="24"/>
                <w:szCs w:val="24"/>
              </w:rPr>
              <w:t xml:space="preserve"> год</w:t>
            </w:r>
          </w:p>
        </w:tc>
      </w:tr>
      <w:tr w:rsidR="00C9517A" w:rsidTr="00A36ADF">
        <w:trPr>
          <w:trHeight w:val="220"/>
        </w:trPr>
        <w:tc>
          <w:tcPr>
            <w:tcW w:w="468" w:type="dxa"/>
            <w:vMerge/>
            <w:tcBorders>
              <w:left w:val="single" w:sz="12" w:space="0" w:color="auto"/>
            </w:tcBorders>
            <w:vAlign w:val="center"/>
          </w:tcPr>
          <w:p w:rsidR="00C9517A" w:rsidRDefault="00C9517A" w:rsidP="00A36A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vAlign w:val="center"/>
            <w:hideMark/>
          </w:tcPr>
          <w:p w:rsidR="00C9517A" w:rsidRDefault="00C9517A" w:rsidP="00A36A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Нарушенные положения нормативных правовых актов и иных документов, являющихся правовым основанием предоставления средств</w:t>
            </w:r>
          </w:p>
        </w:tc>
        <w:tc>
          <w:tcPr>
            <w:tcW w:w="582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9517A" w:rsidRDefault="00C9517A" w:rsidP="00A36ADF">
            <w:pPr>
              <w:jc w:val="both"/>
              <w:rPr>
                <w:sz w:val="24"/>
                <w:szCs w:val="24"/>
              </w:rPr>
            </w:pPr>
            <w:r w:rsidRPr="002941EC">
              <w:rPr>
                <w:sz w:val="24"/>
                <w:szCs w:val="24"/>
              </w:rPr>
              <w:t xml:space="preserve">Часть </w:t>
            </w:r>
            <w:r>
              <w:rPr>
                <w:sz w:val="24"/>
                <w:szCs w:val="24"/>
              </w:rPr>
              <w:t>1</w:t>
            </w:r>
            <w:r w:rsidRPr="002941EC">
              <w:rPr>
                <w:sz w:val="24"/>
                <w:szCs w:val="24"/>
              </w:rPr>
              <w:t xml:space="preserve"> ст. </w:t>
            </w:r>
            <w:r>
              <w:rPr>
                <w:sz w:val="24"/>
                <w:szCs w:val="24"/>
              </w:rPr>
              <w:t>95</w:t>
            </w:r>
            <w:r w:rsidRPr="002941EC">
              <w:rPr>
                <w:sz w:val="24"/>
                <w:szCs w:val="24"/>
              </w:rPr>
              <w:t xml:space="preserve"> Федерального закона № 44-ФЗ</w:t>
            </w:r>
          </w:p>
        </w:tc>
      </w:tr>
      <w:tr w:rsidR="00C9517A" w:rsidTr="00A36ADF">
        <w:trPr>
          <w:trHeight w:val="220"/>
        </w:trPr>
        <w:tc>
          <w:tcPr>
            <w:tcW w:w="46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9517A" w:rsidRDefault="00C9517A" w:rsidP="00A36A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08" w:type="dxa"/>
            <w:tcBorders>
              <w:top w:val="single" w:sz="12" w:space="0" w:color="auto"/>
            </w:tcBorders>
            <w:vAlign w:val="center"/>
            <w:hideMark/>
          </w:tcPr>
          <w:p w:rsidR="00C9517A" w:rsidRDefault="00C9517A" w:rsidP="00A36A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нарушения</w:t>
            </w:r>
          </w:p>
        </w:tc>
        <w:tc>
          <w:tcPr>
            <w:tcW w:w="582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9517A" w:rsidRPr="009910AA" w:rsidRDefault="00C9517A" w:rsidP="00A36A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Учреждением размещена </w:t>
            </w:r>
            <w:r w:rsidRPr="00C440C7">
              <w:rPr>
                <w:sz w:val="24"/>
                <w:szCs w:val="24"/>
              </w:rPr>
              <w:t>на официальном сайте единой информационной системы в сфере закупок в информационно-телекоммуникационной</w:t>
            </w:r>
            <w:r>
              <w:rPr>
                <w:sz w:val="24"/>
                <w:szCs w:val="24"/>
              </w:rPr>
              <w:t xml:space="preserve"> </w:t>
            </w:r>
            <w:r w:rsidRPr="00C440C7">
              <w:rPr>
                <w:sz w:val="24"/>
                <w:szCs w:val="24"/>
              </w:rPr>
              <w:t>сети "Интернет" о размещении заказов на поставки товаров, выполнение работ, оказание услуг – www.zakupki.gov.ru.</w:t>
            </w:r>
            <w:r>
              <w:rPr>
                <w:sz w:val="24"/>
                <w:szCs w:val="24"/>
              </w:rPr>
              <w:t>- информация об исполнении 11 контрактов с нарушением установленного Федеральным законом №44-ФЗ срока; информация об изменении 1 контракта с нарушением установленного Федеральным законом №44-ФЗ срока</w:t>
            </w:r>
          </w:p>
        </w:tc>
      </w:tr>
      <w:tr w:rsidR="00C9517A" w:rsidTr="00A36ADF">
        <w:trPr>
          <w:trHeight w:val="220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  <w:hideMark/>
          </w:tcPr>
          <w:p w:rsidR="00C9517A" w:rsidRDefault="00C9517A" w:rsidP="00A36A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vAlign w:val="center"/>
            <w:hideMark/>
          </w:tcPr>
          <w:p w:rsidR="00C9517A" w:rsidRDefault="00C9517A" w:rsidP="00A36A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Нарушение в денежном </w:t>
            </w:r>
            <w:r>
              <w:rPr>
                <w:sz w:val="24"/>
                <w:szCs w:val="24"/>
              </w:rPr>
              <w:lastRenderedPageBreak/>
              <w:t>выражении</w:t>
            </w:r>
          </w:p>
        </w:tc>
        <w:tc>
          <w:tcPr>
            <w:tcW w:w="5822" w:type="dxa"/>
            <w:tcBorders>
              <w:right w:val="single" w:sz="12" w:space="0" w:color="auto"/>
            </w:tcBorders>
            <w:vAlign w:val="center"/>
          </w:tcPr>
          <w:p w:rsidR="00C9517A" w:rsidRPr="00BC4F8C" w:rsidRDefault="00C9517A" w:rsidP="00A36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 w:rsidRPr="0023507E">
              <w:rPr>
                <w:rFonts w:eastAsia="Calibri"/>
                <w:sz w:val="24"/>
                <w:szCs w:val="24"/>
              </w:rPr>
              <w:lastRenderedPageBreak/>
              <w:t>-</w:t>
            </w:r>
          </w:p>
        </w:tc>
      </w:tr>
      <w:tr w:rsidR="00C9517A" w:rsidTr="00A36ADF">
        <w:trPr>
          <w:trHeight w:val="220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  <w:hideMark/>
          </w:tcPr>
          <w:p w:rsidR="00C9517A" w:rsidRDefault="00C9517A" w:rsidP="00A36A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vAlign w:val="center"/>
            <w:hideMark/>
          </w:tcPr>
          <w:p w:rsidR="00C9517A" w:rsidRDefault="00C9517A" w:rsidP="00A36A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(период) совершения нарушения</w:t>
            </w:r>
          </w:p>
        </w:tc>
        <w:tc>
          <w:tcPr>
            <w:tcW w:w="5822" w:type="dxa"/>
            <w:tcBorders>
              <w:right w:val="single" w:sz="12" w:space="0" w:color="auto"/>
            </w:tcBorders>
            <w:vAlign w:val="center"/>
          </w:tcPr>
          <w:p w:rsidR="00C9517A" w:rsidRPr="00BC4F8C" w:rsidRDefault="00C9517A" w:rsidP="00A36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>
              <w:rPr>
                <w:rFonts w:eastAsia="Calibri"/>
                <w:sz w:val="24"/>
                <w:szCs w:val="24"/>
              </w:rPr>
              <w:t xml:space="preserve">2020 год, </w:t>
            </w:r>
            <w:r w:rsidRPr="00A355AA">
              <w:rPr>
                <w:rFonts w:eastAsia="Calibri"/>
                <w:sz w:val="24"/>
                <w:szCs w:val="24"/>
              </w:rPr>
              <w:t>20</w:t>
            </w:r>
            <w:r>
              <w:rPr>
                <w:rFonts w:eastAsia="Calibri"/>
                <w:sz w:val="24"/>
                <w:szCs w:val="24"/>
              </w:rPr>
              <w:t>21</w:t>
            </w:r>
            <w:r w:rsidRPr="00A355AA">
              <w:rPr>
                <w:rFonts w:eastAsia="Calibri"/>
                <w:sz w:val="24"/>
                <w:szCs w:val="24"/>
              </w:rPr>
              <w:t xml:space="preserve"> год</w:t>
            </w:r>
          </w:p>
        </w:tc>
      </w:tr>
      <w:tr w:rsidR="00C9517A" w:rsidTr="00A36ADF">
        <w:trPr>
          <w:trHeight w:val="220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  <w:hideMark/>
          </w:tcPr>
          <w:p w:rsidR="00C9517A" w:rsidRDefault="00C9517A" w:rsidP="00A36A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tcBorders>
              <w:bottom w:val="single" w:sz="12" w:space="0" w:color="auto"/>
            </w:tcBorders>
            <w:vAlign w:val="center"/>
            <w:hideMark/>
          </w:tcPr>
          <w:p w:rsidR="00C9517A" w:rsidRDefault="00C9517A" w:rsidP="00A36A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Нарушенные положения нормативных правовых актов и иных документов, являющихся правовым основанием предоставления средств</w:t>
            </w:r>
          </w:p>
        </w:tc>
        <w:tc>
          <w:tcPr>
            <w:tcW w:w="5822" w:type="dxa"/>
            <w:tcBorders>
              <w:bottom w:val="single" w:sz="12" w:space="0" w:color="auto"/>
              <w:right w:val="single" w:sz="12" w:space="0" w:color="auto"/>
            </w:tcBorders>
          </w:tcPr>
          <w:p w:rsidR="00C9517A" w:rsidRPr="002941EC" w:rsidRDefault="00C9517A" w:rsidP="00A36ADF">
            <w:pPr>
              <w:ind w:firstLine="44"/>
              <w:jc w:val="both"/>
              <w:rPr>
                <w:sz w:val="24"/>
                <w:szCs w:val="24"/>
              </w:rPr>
            </w:pPr>
            <w:r w:rsidRPr="002941EC">
              <w:rPr>
                <w:sz w:val="24"/>
                <w:szCs w:val="24"/>
              </w:rPr>
              <w:t>Часть 3 ст. 103 Федерального закона № 44-ФЗ</w:t>
            </w:r>
          </w:p>
        </w:tc>
      </w:tr>
      <w:tr w:rsidR="00C9517A" w:rsidTr="00A36ADF">
        <w:trPr>
          <w:trHeight w:val="2257"/>
        </w:trPr>
        <w:tc>
          <w:tcPr>
            <w:tcW w:w="0" w:type="auto"/>
            <w:vMerge w:val="restart"/>
            <w:tcBorders>
              <w:left w:val="single" w:sz="12" w:space="0" w:color="auto"/>
            </w:tcBorders>
            <w:vAlign w:val="center"/>
            <w:hideMark/>
          </w:tcPr>
          <w:p w:rsidR="00C9517A" w:rsidRDefault="00C9517A" w:rsidP="00A36A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08" w:type="dxa"/>
            <w:vAlign w:val="center"/>
            <w:hideMark/>
          </w:tcPr>
          <w:p w:rsidR="00C9517A" w:rsidRDefault="00C9517A" w:rsidP="00A36A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нарушения</w:t>
            </w:r>
          </w:p>
        </w:tc>
        <w:tc>
          <w:tcPr>
            <w:tcW w:w="5822" w:type="dxa"/>
            <w:tcBorders>
              <w:right w:val="single" w:sz="12" w:space="0" w:color="auto"/>
            </w:tcBorders>
            <w:vAlign w:val="center"/>
          </w:tcPr>
          <w:p w:rsidR="00C9517A" w:rsidRPr="00C73B31" w:rsidRDefault="00C9517A" w:rsidP="00A36ADF">
            <w:pPr>
              <w:pStyle w:val="a7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75E">
              <w:rPr>
                <w:rFonts w:ascii="Times New Roman" w:hAnsi="Times New Roman"/>
                <w:bCs/>
                <w:sz w:val="24"/>
                <w:szCs w:val="24"/>
              </w:rPr>
              <w:t>Учреждение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Pr="0063575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63CD1">
              <w:rPr>
                <w:rFonts w:ascii="Times New Roman" w:hAnsi="Times New Roman"/>
                <w:bCs/>
                <w:sz w:val="24"/>
                <w:szCs w:val="24"/>
              </w:rPr>
              <w:t xml:space="preserve">по результатам исполнения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15 контрактов несвоевременно сформированы рейтинги поставщиков при </w:t>
            </w:r>
            <w:r w:rsidRPr="0063575E">
              <w:rPr>
                <w:rFonts w:ascii="Times New Roman" w:hAnsi="Times New Roman"/>
                <w:bCs/>
                <w:sz w:val="24"/>
                <w:szCs w:val="24"/>
              </w:rPr>
              <w:t>осуществл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ении</w:t>
            </w:r>
            <w:r w:rsidRPr="0063575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закупок по пункту</w:t>
            </w:r>
            <w:r w:rsidRPr="0063575E">
              <w:rPr>
                <w:rFonts w:ascii="Times New Roman" w:hAnsi="Times New Roman"/>
                <w:bCs/>
                <w:sz w:val="24"/>
                <w:szCs w:val="24"/>
              </w:rPr>
              <w:t xml:space="preserve"> 4 ч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асти</w:t>
            </w:r>
            <w:r w:rsidRPr="0063575E">
              <w:rPr>
                <w:rFonts w:ascii="Times New Roman" w:hAnsi="Times New Roman"/>
                <w:bCs/>
                <w:sz w:val="24"/>
                <w:szCs w:val="24"/>
              </w:rPr>
              <w:t xml:space="preserve"> 1 ст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атьи</w:t>
            </w:r>
            <w:r w:rsidRPr="0063575E">
              <w:rPr>
                <w:rFonts w:ascii="Times New Roman" w:hAnsi="Times New Roman"/>
                <w:bCs/>
                <w:sz w:val="24"/>
                <w:szCs w:val="24"/>
              </w:rPr>
              <w:t xml:space="preserve"> 93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  <w:r w:rsidRPr="0063575E">
              <w:rPr>
                <w:rFonts w:ascii="Times New Roman" w:hAnsi="Times New Roman"/>
                <w:bCs/>
                <w:sz w:val="24"/>
                <w:szCs w:val="24"/>
              </w:rPr>
              <w:t xml:space="preserve">акона № 44-ФЗ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63575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использованием </w:t>
            </w:r>
            <w:r w:rsidRPr="0063575E">
              <w:rPr>
                <w:rFonts w:ascii="Times New Roman" w:hAnsi="Times New Roman"/>
                <w:bCs/>
                <w:sz w:val="24"/>
                <w:szCs w:val="24"/>
              </w:rPr>
              <w:t>подсистем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</w:t>
            </w:r>
            <w:r w:rsidRPr="0063575E">
              <w:rPr>
                <w:rFonts w:ascii="Times New Roman" w:hAnsi="Times New Roman"/>
                <w:bCs/>
                <w:sz w:val="24"/>
                <w:szCs w:val="24"/>
              </w:rPr>
              <w:t xml:space="preserve"> «Управление в сфере закупок товаров, работ, услуг для государствен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ных нужд Удмуртской Республики» государственной информационной системы «Автоматизированная информационная система управления бюджетным процессом Удмуртской Республики», по результатам исполнения 4 контрактов рейтинг не сформирован; </w:t>
            </w:r>
            <w:r w:rsidRPr="00AB523D">
              <w:rPr>
                <w:rFonts w:ascii="Times New Roman" w:hAnsi="Times New Roman"/>
                <w:bCs/>
                <w:sz w:val="24"/>
                <w:szCs w:val="24"/>
              </w:rPr>
              <w:t>сформирован рейтинг с нарушением установленного срока по результатам исполнения 5 контрактов в 2020 году, 3 контрактов в 2021 году</w:t>
            </w:r>
            <w:r w:rsidRPr="0063575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C9517A" w:rsidTr="00A36ADF">
        <w:trPr>
          <w:trHeight w:val="692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  <w:hideMark/>
          </w:tcPr>
          <w:p w:rsidR="00C9517A" w:rsidRDefault="00C9517A" w:rsidP="00A36A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vAlign w:val="center"/>
            <w:hideMark/>
          </w:tcPr>
          <w:p w:rsidR="00C9517A" w:rsidRDefault="00C9517A" w:rsidP="00A36A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Нарушение в денежном выражении</w:t>
            </w:r>
          </w:p>
        </w:tc>
        <w:tc>
          <w:tcPr>
            <w:tcW w:w="5822" w:type="dxa"/>
            <w:tcBorders>
              <w:right w:val="single" w:sz="12" w:space="0" w:color="auto"/>
            </w:tcBorders>
            <w:vAlign w:val="center"/>
          </w:tcPr>
          <w:p w:rsidR="00C9517A" w:rsidRDefault="00C9517A" w:rsidP="00A36AD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859,7</w:t>
            </w:r>
            <w:r w:rsidRPr="00E04D1B">
              <w:rPr>
                <w:bCs/>
                <w:sz w:val="24"/>
                <w:szCs w:val="24"/>
              </w:rPr>
              <w:t xml:space="preserve"> тыс. руб. (объем закупок)</w:t>
            </w:r>
          </w:p>
        </w:tc>
      </w:tr>
      <w:tr w:rsidR="00C9517A" w:rsidTr="00A36ADF">
        <w:trPr>
          <w:trHeight w:val="1087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  <w:hideMark/>
          </w:tcPr>
          <w:p w:rsidR="00C9517A" w:rsidRDefault="00C9517A" w:rsidP="00A36A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vAlign w:val="center"/>
            <w:hideMark/>
          </w:tcPr>
          <w:p w:rsidR="00C9517A" w:rsidRDefault="00C9517A" w:rsidP="00A36A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(период) совершения нарушения</w:t>
            </w:r>
          </w:p>
        </w:tc>
        <w:tc>
          <w:tcPr>
            <w:tcW w:w="5822" w:type="dxa"/>
            <w:tcBorders>
              <w:right w:val="single" w:sz="12" w:space="0" w:color="auto"/>
            </w:tcBorders>
            <w:vAlign w:val="center"/>
          </w:tcPr>
          <w:p w:rsidR="00C9517A" w:rsidRDefault="00C9517A" w:rsidP="00A36AD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2020 год, </w:t>
            </w:r>
            <w:r w:rsidRPr="00961EEC">
              <w:rPr>
                <w:rFonts w:eastAsia="Calibri"/>
                <w:sz w:val="24"/>
                <w:szCs w:val="24"/>
              </w:rPr>
              <w:t>20</w:t>
            </w:r>
            <w:r>
              <w:rPr>
                <w:rFonts w:eastAsia="Calibri"/>
                <w:sz w:val="24"/>
                <w:szCs w:val="24"/>
              </w:rPr>
              <w:t>21</w:t>
            </w:r>
            <w:r w:rsidRPr="00961EEC">
              <w:rPr>
                <w:rFonts w:eastAsia="Calibri"/>
                <w:sz w:val="24"/>
                <w:szCs w:val="24"/>
              </w:rPr>
              <w:t xml:space="preserve"> год</w:t>
            </w:r>
          </w:p>
        </w:tc>
      </w:tr>
      <w:tr w:rsidR="00C9517A" w:rsidTr="00A36ADF">
        <w:trPr>
          <w:trHeight w:val="415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  <w:hideMark/>
          </w:tcPr>
          <w:p w:rsidR="00C9517A" w:rsidRDefault="00C9517A" w:rsidP="00A36A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vAlign w:val="center"/>
            <w:hideMark/>
          </w:tcPr>
          <w:p w:rsidR="00C9517A" w:rsidRDefault="00C9517A" w:rsidP="00A36A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Нарушенные положения нормативных правовых актов и иных документов, являющихся правовым основанием предоставления средств</w:t>
            </w:r>
          </w:p>
        </w:tc>
        <w:tc>
          <w:tcPr>
            <w:tcW w:w="5822" w:type="dxa"/>
            <w:tcBorders>
              <w:right w:val="single" w:sz="12" w:space="0" w:color="auto"/>
            </w:tcBorders>
            <w:vAlign w:val="center"/>
          </w:tcPr>
          <w:p w:rsidR="00C9517A" w:rsidRDefault="00C9517A" w:rsidP="00A36ADF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Пункт 55 Приказа</w:t>
            </w:r>
            <w:r w:rsidRPr="004415FD">
              <w:rPr>
                <w:bCs/>
                <w:sz w:val="24"/>
                <w:szCs w:val="24"/>
              </w:rPr>
              <w:t xml:space="preserve"> Минфина УР от 11.07.2018 № 8н "Об утверждении Регламента осуществления малых закупок с использованием подсистемы "Управление в сфере закупок товаров, работ, услуг для государственных нужд Удмуртской Республики" государственной информационной системы "Автоматизированная информационная система управления бюджетным процессом Удмуртской Республики (далее- модуль «Малые закупки»)</w:t>
            </w:r>
          </w:p>
        </w:tc>
      </w:tr>
      <w:tr w:rsidR="00C9517A" w:rsidRPr="00C73B31" w:rsidTr="00A36ADF">
        <w:trPr>
          <w:trHeight w:val="379"/>
        </w:trPr>
        <w:tc>
          <w:tcPr>
            <w:tcW w:w="0" w:type="auto"/>
            <w:vMerge w:val="restart"/>
            <w:hideMark/>
          </w:tcPr>
          <w:p w:rsidR="00C9517A" w:rsidRDefault="00C9517A" w:rsidP="00A36A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08" w:type="dxa"/>
            <w:hideMark/>
          </w:tcPr>
          <w:p w:rsidR="00C9517A" w:rsidRDefault="00C9517A" w:rsidP="00A36A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нарушения</w:t>
            </w:r>
          </w:p>
        </w:tc>
        <w:tc>
          <w:tcPr>
            <w:tcW w:w="5822" w:type="dxa"/>
          </w:tcPr>
          <w:p w:rsidR="00C9517A" w:rsidRPr="00C73B31" w:rsidRDefault="00C9517A" w:rsidP="00A36ADF">
            <w:pPr>
              <w:pStyle w:val="a7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75E">
              <w:rPr>
                <w:rFonts w:ascii="Times New Roman" w:hAnsi="Times New Roman"/>
                <w:bCs/>
                <w:sz w:val="24"/>
                <w:szCs w:val="24"/>
              </w:rPr>
              <w:t>Учреждение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Pr="0063575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63CD1">
              <w:rPr>
                <w:rFonts w:ascii="Times New Roman" w:hAnsi="Times New Roman"/>
                <w:bCs/>
                <w:sz w:val="24"/>
                <w:szCs w:val="24"/>
              </w:rPr>
              <w:t xml:space="preserve">по результатам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заключения</w:t>
            </w:r>
            <w:r w:rsidRPr="00C63CD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96 договоров в 2020 году, 50 договоров в 2021 году не сформированы сведения в реестр малых закупок по пункту</w:t>
            </w:r>
            <w:r w:rsidRPr="0063575E">
              <w:rPr>
                <w:rFonts w:ascii="Times New Roman" w:hAnsi="Times New Roman"/>
                <w:bCs/>
                <w:sz w:val="24"/>
                <w:szCs w:val="24"/>
              </w:rPr>
              <w:t xml:space="preserve"> 4 ч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асти</w:t>
            </w:r>
            <w:r w:rsidRPr="0063575E">
              <w:rPr>
                <w:rFonts w:ascii="Times New Roman" w:hAnsi="Times New Roman"/>
                <w:bCs/>
                <w:sz w:val="24"/>
                <w:szCs w:val="24"/>
              </w:rPr>
              <w:t xml:space="preserve"> 1 ст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атьи</w:t>
            </w:r>
            <w:r w:rsidRPr="0063575E">
              <w:rPr>
                <w:rFonts w:ascii="Times New Roman" w:hAnsi="Times New Roman"/>
                <w:bCs/>
                <w:sz w:val="24"/>
                <w:szCs w:val="24"/>
              </w:rPr>
              <w:t xml:space="preserve"> 93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  <w:r w:rsidRPr="0063575E">
              <w:rPr>
                <w:rFonts w:ascii="Times New Roman" w:hAnsi="Times New Roman"/>
                <w:bCs/>
                <w:sz w:val="24"/>
                <w:szCs w:val="24"/>
              </w:rPr>
              <w:t xml:space="preserve">акона № 44-ФЗ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63575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использованием </w:t>
            </w:r>
            <w:r w:rsidRPr="0063575E">
              <w:rPr>
                <w:rFonts w:ascii="Times New Roman" w:hAnsi="Times New Roman"/>
                <w:bCs/>
                <w:sz w:val="24"/>
                <w:szCs w:val="24"/>
              </w:rPr>
              <w:t>подсистем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</w:t>
            </w:r>
            <w:r w:rsidRPr="0063575E">
              <w:rPr>
                <w:rFonts w:ascii="Times New Roman" w:hAnsi="Times New Roman"/>
                <w:bCs/>
                <w:sz w:val="24"/>
                <w:szCs w:val="24"/>
              </w:rPr>
              <w:t xml:space="preserve"> «Управление в сфере закупок товаров, работ, услуг для государствен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ных нужд Удмуртской Республики» государственной информационной системы «Автоматизированная информационная система управления бюджетным процессом Удмуртской Республики».</w:t>
            </w:r>
            <w:r w:rsidRPr="0063575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r w:rsidRPr="005A339E">
              <w:rPr>
                <w:rFonts w:ascii="Times New Roman" w:hAnsi="Times New Roman"/>
                <w:bCs/>
                <w:sz w:val="24"/>
                <w:szCs w:val="24"/>
              </w:rPr>
              <w:t xml:space="preserve">сформированы сведения 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Pr="005A339E">
              <w:rPr>
                <w:rFonts w:ascii="Times New Roman" w:hAnsi="Times New Roman"/>
                <w:bCs/>
                <w:sz w:val="24"/>
                <w:szCs w:val="24"/>
              </w:rPr>
              <w:t xml:space="preserve"> мал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ых</w:t>
            </w:r>
            <w:r w:rsidRPr="005A339E">
              <w:rPr>
                <w:rFonts w:ascii="Times New Roman" w:hAnsi="Times New Roman"/>
                <w:bCs/>
                <w:sz w:val="24"/>
                <w:szCs w:val="24"/>
              </w:rPr>
              <w:t xml:space="preserve"> закупк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ах</w:t>
            </w:r>
            <w:r w:rsidRPr="005A339E">
              <w:rPr>
                <w:rFonts w:ascii="Times New Roman" w:hAnsi="Times New Roman"/>
                <w:bCs/>
                <w:sz w:val="24"/>
                <w:szCs w:val="24"/>
              </w:rPr>
              <w:t xml:space="preserve"> в 2020 </w:t>
            </w:r>
            <w:r w:rsidRPr="005A339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году, о 8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5A339E">
              <w:rPr>
                <w:rFonts w:ascii="Times New Roman" w:hAnsi="Times New Roman"/>
                <w:bCs/>
                <w:sz w:val="24"/>
                <w:szCs w:val="24"/>
              </w:rPr>
              <w:t xml:space="preserve"> закупках в 2021 году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  <w:r w:rsidRPr="005A339E">
              <w:rPr>
                <w:rFonts w:ascii="Times New Roman" w:hAnsi="Times New Roman"/>
                <w:bCs/>
                <w:sz w:val="24"/>
                <w:szCs w:val="24"/>
              </w:rPr>
              <w:t xml:space="preserve"> с нарушением установленного срока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B523D">
              <w:rPr>
                <w:rFonts w:ascii="Times New Roman" w:hAnsi="Times New Roman"/>
                <w:bCs/>
                <w:sz w:val="24"/>
                <w:szCs w:val="24"/>
              </w:rPr>
              <w:t>сформированы сведения в 2020 году о 6 малых закупках, в 2021 году о 50 малых закупках</w:t>
            </w:r>
          </w:p>
        </w:tc>
      </w:tr>
      <w:tr w:rsidR="00C9517A" w:rsidRPr="00961EEC" w:rsidTr="00A36ADF">
        <w:trPr>
          <w:trHeight w:val="715"/>
        </w:trPr>
        <w:tc>
          <w:tcPr>
            <w:tcW w:w="0" w:type="auto"/>
            <w:vMerge/>
            <w:hideMark/>
          </w:tcPr>
          <w:p w:rsidR="00C9517A" w:rsidRDefault="00C9517A" w:rsidP="00A36A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hideMark/>
          </w:tcPr>
          <w:p w:rsidR="00C9517A" w:rsidRDefault="00C9517A" w:rsidP="00A36A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Нарушение в денежном выражении</w:t>
            </w:r>
          </w:p>
        </w:tc>
        <w:tc>
          <w:tcPr>
            <w:tcW w:w="5822" w:type="dxa"/>
          </w:tcPr>
          <w:p w:rsidR="00C9517A" w:rsidRPr="00961EEC" w:rsidRDefault="00C9517A" w:rsidP="00A36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1584,9 тыс. руб.</w:t>
            </w:r>
            <w:r w:rsidRPr="00E04D1B">
              <w:rPr>
                <w:bCs/>
                <w:sz w:val="24"/>
                <w:szCs w:val="24"/>
              </w:rPr>
              <w:t xml:space="preserve"> (объем закупок)</w:t>
            </w:r>
          </w:p>
        </w:tc>
      </w:tr>
      <w:tr w:rsidR="00C9517A" w:rsidRPr="00961EEC" w:rsidTr="00A36ADF">
        <w:trPr>
          <w:trHeight w:val="712"/>
        </w:trPr>
        <w:tc>
          <w:tcPr>
            <w:tcW w:w="0" w:type="auto"/>
            <w:vMerge/>
            <w:hideMark/>
          </w:tcPr>
          <w:p w:rsidR="00C9517A" w:rsidRDefault="00C9517A" w:rsidP="00A36A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hideMark/>
          </w:tcPr>
          <w:p w:rsidR="00C9517A" w:rsidRDefault="00C9517A" w:rsidP="00A36A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(период) совершения нарушения</w:t>
            </w:r>
          </w:p>
        </w:tc>
        <w:tc>
          <w:tcPr>
            <w:tcW w:w="5822" w:type="dxa"/>
          </w:tcPr>
          <w:p w:rsidR="00C9517A" w:rsidRPr="00961EEC" w:rsidRDefault="00C9517A" w:rsidP="00A36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2020 год, </w:t>
            </w:r>
            <w:r w:rsidRPr="00961EEC">
              <w:rPr>
                <w:rFonts w:eastAsia="Calibri"/>
                <w:sz w:val="24"/>
                <w:szCs w:val="24"/>
              </w:rPr>
              <w:t>20</w:t>
            </w:r>
            <w:r>
              <w:rPr>
                <w:rFonts w:eastAsia="Calibri"/>
                <w:sz w:val="24"/>
                <w:szCs w:val="24"/>
              </w:rPr>
              <w:t>21</w:t>
            </w:r>
            <w:r w:rsidRPr="00961EEC">
              <w:rPr>
                <w:rFonts w:eastAsia="Calibri"/>
                <w:sz w:val="24"/>
                <w:szCs w:val="24"/>
              </w:rPr>
              <w:t xml:space="preserve"> год</w:t>
            </w:r>
          </w:p>
        </w:tc>
      </w:tr>
      <w:tr w:rsidR="00C9517A" w:rsidTr="00A36ADF">
        <w:trPr>
          <w:trHeight w:val="2497"/>
        </w:trPr>
        <w:tc>
          <w:tcPr>
            <w:tcW w:w="0" w:type="auto"/>
            <w:vMerge/>
            <w:hideMark/>
          </w:tcPr>
          <w:p w:rsidR="00C9517A" w:rsidRDefault="00C9517A" w:rsidP="00A36A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hideMark/>
          </w:tcPr>
          <w:p w:rsidR="00C9517A" w:rsidRDefault="00C9517A" w:rsidP="00A36A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Нарушенные положения нормативных правовых актов и иных документов, являющихся правовым основанием предоставления средств</w:t>
            </w:r>
          </w:p>
        </w:tc>
        <w:tc>
          <w:tcPr>
            <w:tcW w:w="5822" w:type="dxa"/>
          </w:tcPr>
          <w:p w:rsidR="00C9517A" w:rsidRDefault="00C9517A" w:rsidP="00A36ADF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Пункт 54 Приказа</w:t>
            </w:r>
            <w:r w:rsidRPr="004415FD">
              <w:rPr>
                <w:bCs/>
                <w:sz w:val="24"/>
                <w:szCs w:val="24"/>
              </w:rPr>
              <w:t xml:space="preserve"> Минфина УР от 11.07.2018 № 8н "Об утверждении Регламента осуществления малых закупок с использованием подсистемы "Управление в сфере закупок товаров, работ, услуг для государственных нужд Удмуртской Республики" государственной информационной системы "Автоматизированная информационная система управления бюджетным процессом Удмуртской Республики (далее- модуль «Малые закупки»)"</w:t>
            </w:r>
          </w:p>
          <w:p w:rsidR="00C9517A" w:rsidRDefault="00C9517A" w:rsidP="00A36ADF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</w:tr>
      <w:tr w:rsidR="00C9517A" w:rsidTr="00A36ADF">
        <w:trPr>
          <w:trHeight w:val="945"/>
        </w:trPr>
        <w:tc>
          <w:tcPr>
            <w:tcW w:w="0" w:type="auto"/>
            <w:vMerge w:val="restart"/>
            <w:hideMark/>
          </w:tcPr>
          <w:p w:rsidR="00C9517A" w:rsidRDefault="00C9517A" w:rsidP="00A36A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08" w:type="dxa"/>
            <w:hideMark/>
          </w:tcPr>
          <w:p w:rsidR="00C9517A" w:rsidRDefault="00C9517A" w:rsidP="00A36A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нарушения</w:t>
            </w:r>
          </w:p>
        </w:tc>
        <w:tc>
          <w:tcPr>
            <w:tcW w:w="5822" w:type="dxa"/>
          </w:tcPr>
          <w:p w:rsidR="00C9517A" w:rsidRDefault="00C9517A" w:rsidP="00A36ADF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</w:t>
            </w:r>
            <w:r w:rsidRPr="0092382D">
              <w:rPr>
                <w:bCs/>
                <w:sz w:val="24"/>
                <w:szCs w:val="24"/>
              </w:rPr>
              <w:t xml:space="preserve"> ходе опубликования </w:t>
            </w:r>
            <w:r>
              <w:rPr>
                <w:bCs/>
                <w:sz w:val="24"/>
                <w:szCs w:val="24"/>
              </w:rPr>
              <w:t>2</w:t>
            </w:r>
            <w:r w:rsidRPr="0092382D">
              <w:rPr>
                <w:bCs/>
                <w:sz w:val="24"/>
                <w:szCs w:val="24"/>
              </w:rPr>
              <w:t xml:space="preserve"> контракт</w:t>
            </w:r>
            <w:r>
              <w:rPr>
                <w:bCs/>
                <w:sz w:val="24"/>
                <w:szCs w:val="24"/>
              </w:rPr>
              <w:t>ов</w:t>
            </w:r>
            <w:r w:rsidRPr="0092382D">
              <w:rPr>
                <w:bCs/>
                <w:sz w:val="24"/>
                <w:szCs w:val="24"/>
              </w:rPr>
              <w:t xml:space="preserve"> в 202</w:t>
            </w:r>
            <w:r>
              <w:rPr>
                <w:bCs/>
                <w:sz w:val="24"/>
                <w:szCs w:val="24"/>
              </w:rPr>
              <w:t>0</w:t>
            </w:r>
            <w:r w:rsidRPr="0092382D">
              <w:rPr>
                <w:bCs/>
                <w:sz w:val="24"/>
                <w:szCs w:val="24"/>
              </w:rPr>
              <w:t xml:space="preserve"> году </w:t>
            </w:r>
            <w:r>
              <w:rPr>
                <w:bCs/>
                <w:sz w:val="24"/>
                <w:szCs w:val="24"/>
              </w:rPr>
              <w:t>в АИС</w:t>
            </w:r>
            <w:r w:rsidRPr="0092382D">
              <w:rPr>
                <w:bCs/>
                <w:sz w:val="24"/>
                <w:szCs w:val="24"/>
              </w:rPr>
              <w:t xml:space="preserve"> неверно указана причина осуществления закупки без </w:t>
            </w:r>
            <w:r w:rsidRPr="002237F9">
              <w:rPr>
                <w:bCs/>
                <w:sz w:val="24"/>
                <w:szCs w:val="24"/>
              </w:rPr>
              <w:t>использования модуля «Малые закупки»</w:t>
            </w:r>
          </w:p>
        </w:tc>
      </w:tr>
      <w:tr w:rsidR="00C9517A" w:rsidTr="00A36ADF">
        <w:trPr>
          <w:trHeight w:val="662"/>
        </w:trPr>
        <w:tc>
          <w:tcPr>
            <w:tcW w:w="0" w:type="auto"/>
            <w:vMerge/>
            <w:hideMark/>
          </w:tcPr>
          <w:p w:rsidR="00C9517A" w:rsidRDefault="00C9517A" w:rsidP="00A36A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hideMark/>
          </w:tcPr>
          <w:p w:rsidR="00C9517A" w:rsidRDefault="00C9517A" w:rsidP="00A36A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Нарушение в денежном выражении</w:t>
            </w:r>
          </w:p>
        </w:tc>
        <w:tc>
          <w:tcPr>
            <w:tcW w:w="5822" w:type="dxa"/>
          </w:tcPr>
          <w:p w:rsidR="00C9517A" w:rsidRPr="00961EEC" w:rsidRDefault="00C9517A" w:rsidP="00A36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C9517A" w:rsidTr="00A36ADF">
        <w:trPr>
          <w:trHeight w:val="804"/>
        </w:trPr>
        <w:tc>
          <w:tcPr>
            <w:tcW w:w="0" w:type="auto"/>
            <w:vMerge/>
            <w:hideMark/>
          </w:tcPr>
          <w:p w:rsidR="00C9517A" w:rsidRDefault="00C9517A" w:rsidP="00A36A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hideMark/>
          </w:tcPr>
          <w:p w:rsidR="00C9517A" w:rsidRDefault="00C9517A" w:rsidP="00A36A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(период) совершения нарушения</w:t>
            </w:r>
          </w:p>
        </w:tc>
        <w:tc>
          <w:tcPr>
            <w:tcW w:w="5822" w:type="dxa"/>
          </w:tcPr>
          <w:p w:rsidR="00C9517A" w:rsidRPr="00961EEC" w:rsidRDefault="00C9517A" w:rsidP="00A36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61EEC">
              <w:rPr>
                <w:rFonts w:eastAsia="Calibri"/>
                <w:sz w:val="24"/>
                <w:szCs w:val="24"/>
              </w:rPr>
              <w:t>20</w:t>
            </w:r>
            <w:r>
              <w:rPr>
                <w:rFonts w:eastAsia="Calibri"/>
                <w:sz w:val="24"/>
                <w:szCs w:val="24"/>
              </w:rPr>
              <w:t>20</w:t>
            </w:r>
            <w:r w:rsidRPr="00961EEC">
              <w:rPr>
                <w:rFonts w:eastAsia="Calibri"/>
                <w:sz w:val="24"/>
                <w:szCs w:val="24"/>
              </w:rPr>
              <w:t xml:space="preserve"> год</w:t>
            </w:r>
          </w:p>
        </w:tc>
      </w:tr>
      <w:tr w:rsidR="00C9517A" w:rsidTr="00A36ADF">
        <w:trPr>
          <w:trHeight w:val="2600"/>
        </w:trPr>
        <w:tc>
          <w:tcPr>
            <w:tcW w:w="0" w:type="auto"/>
            <w:vMerge/>
            <w:hideMark/>
          </w:tcPr>
          <w:p w:rsidR="00C9517A" w:rsidRDefault="00C9517A" w:rsidP="00A36A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hideMark/>
          </w:tcPr>
          <w:p w:rsidR="00C9517A" w:rsidRDefault="00C9517A" w:rsidP="00A36A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Нарушенные положения нормативных правовых актов и иных документов, являющихся правовым основанием предоставления средств</w:t>
            </w:r>
          </w:p>
        </w:tc>
        <w:tc>
          <w:tcPr>
            <w:tcW w:w="5822" w:type="dxa"/>
          </w:tcPr>
          <w:p w:rsidR="00C9517A" w:rsidRDefault="00C9517A" w:rsidP="00A36ADF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Часть 19 Приказа</w:t>
            </w:r>
            <w:r w:rsidRPr="004415FD">
              <w:rPr>
                <w:bCs/>
                <w:sz w:val="24"/>
                <w:szCs w:val="24"/>
              </w:rPr>
              <w:t xml:space="preserve"> Минфина УР от 11.07.2018 № 8н "Об утверждении Регламента осуществления малых закупок с использованием подсистемы "Управление в сфере закупок товаров, работ, услуг для государственных нужд Удмуртской Республики" государственной информационной системы "Автоматизированная информационная система управления бюджетным процессом Удмуртской Республики (далее- модуль «Малые закупки»)"</w:t>
            </w:r>
          </w:p>
          <w:p w:rsidR="00C9517A" w:rsidRDefault="00C9517A" w:rsidP="00A36ADF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</w:tr>
      <w:tr w:rsidR="00C9517A" w:rsidTr="00A36ADF">
        <w:trPr>
          <w:trHeight w:val="1464"/>
        </w:trPr>
        <w:tc>
          <w:tcPr>
            <w:tcW w:w="0" w:type="auto"/>
            <w:vMerge w:val="restart"/>
            <w:hideMark/>
          </w:tcPr>
          <w:p w:rsidR="00C9517A" w:rsidRDefault="00C9517A" w:rsidP="00A36A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08" w:type="dxa"/>
            <w:hideMark/>
          </w:tcPr>
          <w:p w:rsidR="00C9517A" w:rsidRDefault="00C9517A" w:rsidP="00A36A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нарушения</w:t>
            </w:r>
          </w:p>
        </w:tc>
        <w:tc>
          <w:tcPr>
            <w:tcW w:w="5822" w:type="dxa"/>
          </w:tcPr>
          <w:p w:rsidR="00C9517A" w:rsidRDefault="00C9517A" w:rsidP="00A36ADF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Размещение недостоверной информации в </w:t>
            </w:r>
            <w:r w:rsidRPr="009E3AEB">
              <w:rPr>
                <w:bCs/>
                <w:sz w:val="24"/>
                <w:szCs w:val="24"/>
              </w:rPr>
              <w:t>Отчёт</w:t>
            </w:r>
            <w:r>
              <w:rPr>
                <w:bCs/>
                <w:sz w:val="24"/>
                <w:szCs w:val="24"/>
              </w:rPr>
              <w:t xml:space="preserve">е </w:t>
            </w:r>
            <w:r w:rsidRPr="009E3AEB">
              <w:rPr>
                <w:bCs/>
                <w:sz w:val="24"/>
                <w:szCs w:val="24"/>
              </w:rPr>
              <w:t>об объёме закупок у субъектов малого предпринимательства, социально ориентированных некоммерческих организаций по итогам 2020 года</w:t>
            </w:r>
            <w:r>
              <w:rPr>
                <w:bCs/>
                <w:sz w:val="24"/>
                <w:szCs w:val="24"/>
              </w:rPr>
              <w:t>, 2021 года</w:t>
            </w:r>
          </w:p>
        </w:tc>
      </w:tr>
      <w:tr w:rsidR="00C9517A" w:rsidTr="00A36ADF">
        <w:trPr>
          <w:trHeight w:val="691"/>
        </w:trPr>
        <w:tc>
          <w:tcPr>
            <w:tcW w:w="0" w:type="auto"/>
            <w:vMerge/>
            <w:hideMark/>
          </w:tcPr>
          <w:p w:rsidR="00C9517A" w:rsidRDefault="00C9517A" w:rsidP="00A36A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hideMark/>
          </w:tcPr>
          <w:p w:rsidR="00C9517A" w:rsidRDefault="00C9517A" w:rsidP="00A36A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Нарушение в денежном выражении</w:t>
            </w:r>
          </w:p>
        </w:tc>
        <w:tc>
          <w:tcPr>
            <w:tcW w:w="5822" w:type="dxa"/>
          </w:tcPr>
          <w:p w:rsidR="00C9517A" w:rsidRDefault="00C9517A" w:rsidP="00A36AD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C9517A" w:rsidTr="00A36ADF">
        <w:trPr>
          <w:trHeight w:val="574"/>
        </w:trPr>
        <w:tc>
          <w:tcPr>
            <w:tcW w:w="0" w:type="auto"/>
            <w:vMerge/>
            <w:hideMark/>
          </w:tcPr>
          <w:p w:rsidR="00C9517A" w:rsidRDefault="00C9517A" w:rsidP="00A36A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hideMark/>
          </w:tcPr>
          <w:p w:rsidR="00C9517A" w:rsidRDefault="00C9517A" w:rsidP="00A36A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(период) совершения нарушения</w:t>
            </w:r>
          </w:p>
        </w:tc>
        <w:tc>
          <w:tcPr>
            <w:tcW w:w="5822" w:type="dxa"/>
          </w:tcPr>
          <w:p w:rsidR="00C9517A" w:rsidRDefault="00C9517A" w:rsidP="00A36AD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2020 год, 2021 год</w:t>
            </w:r>
          </w:p>
        </w:tc>
      </w:tr>
      <w:tr w:rsidR="00C9517A" w:rsidTr="00A36ADF">
        <w:trPr>
          <w:trHeight w:val="2600"/>
        </w:trPr>
        <w:tc>
          <w:tcPr>
            <w:tcW w:w="0" w:type="auto"/>
            <w:vMerge/>
            <w:hideMark/>
          </w:tcPr>
          <w:p w:rsidR="00C9517A" w:rsidRDefault="00C9517A" w:rsidP="00A36A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hideMark/>
          </w:tcPr>
          <w:p w:rsidR="00C9517A" w:rsidRDefault="00C9517A" w:rsidP="00A36A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Нарушенные положения нормативных правовых актов и иных документов, являющихся правовым основанием предоставления средств</w:t>
            </w:r>
          </w:p>
        </w:tc>
        <w:tc>
          <w:tcPr>
            <w:tcW w:w="5822" w:type="dxa"/>
          </w:tcPr>
          <w:p w:rsidR="00C9517A" w:rsidRDefault="00C9517A" w:rsidP="00A36ADF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п.3 </w:t>
            </w:r>
            <w:r w:rsidRPr="00EC34BC">
              <w:rPr>
                <w:bCs/>
                <w:sz w:val="24"/>
                <w:szCs w:val="24"/>
              </w:rPr>
              <w:t>Постановлени</w:t>
            </w:r>
            <w:r>
              <w:rPr>
                <w:bCs/>
                <w:sz w:val="24"/>
                <w:szCs w:val="24"/>
              </w:rPr>
              <w:t xml:space="preserve">я </w:t>
            </w:r>
            <w:r w:rsidRPr="00EC34BC">
              <w:rPr>
                <w:bCs/>
                <w:sz w:val="24"/>
                <w:szCs w:val="24"/>
              </w:rPr>
              <w:t>Правительства РФ от 17.03.2015 № 238 "О порядке подготовки отчёта об объёме закупок у субъектов малого предпринимательства и социально ориентированных некоммерческих организаций, его размещения в единой информационной системе и внесении изменения в Положение о Межведомственной комиссии по отбору инвестиционных проектов, российских кредитных организаций и международных финансовых организаций для участия в Программе поддержки инвестиционных проектов, реализуемых на территории Российской Федерации на основе проектного финансирования"</w:t>
            </w:r>
          </w:p>
        </w:tc>
      </w:tr>
    </w:tbl>
    <w:p w:rsidR="00C81251" w:rsidRDefault="00C81251" w:rsidP="0005220A">
      <w:pPr>
        <w:ind w:firstLine="567"/>
        <w:jc w:val="both"/>
      </w:pPr>
    </w:p>
    <w:p w:rsidR="00C81251" w:rsidRDefault="00C81251" w:rsidP="0005220A">
      <w:pPr>
        <w:ind w:firstLine="567"/>
        <w:jc w:val="both"/>
      </w:pPr>
    </w:p>
    <w:p w:rsidR="00712662" w:rsidRDefault="00712662" w:rsidP="0005220A">
      <w:pPr>
        <w:ind w:firstLine="567"/>
        <w:jc w:val="both"/>
      </w:pPr>
    </w:p>
    <w:p w:rsidR="00712662" w:rsidRDefault="00712662" w:rsidP="0005220A">
      <w:pPr>
        <w:ind w:firstLine="567"/>
        <w:jc w:val="both"/>
      </w:pPr>
    </w:p>
    <w:p w:rsidR="00712662" w:rsidRDefault="00712662" w:rsidP="0005220A">
      <w:pPr>
        <w:ind w:firstLine="567"/>
        <w:jc w:val="both"/>
      </w:pPr>
    </w:p>
    <w:p w:rsidR="007B6683" w:rsidRPr="00F601A7" w:rsidRDefault="007B6683" w:rsidP="00F601A7">
      <w:pPr>
        <w:rPr>
          <w:szCs w:val="26"/>
        </w:rPr>
      </w:pPr>
    </w:p>
    <w:sectPr w:rsidR="007B6683" w:rsidRPr="00F601A7" w:rsidSect="00D0242B">
      <w:footerReference w:type="default" r:id="rId8"/>
      <w:pgSz w:w="11906" w:h="16838"/>
      <w:pgMar w:top="426" w:right="566" w:bottom="568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166A" w:rsidRDefault="00DB166A" w:rsidP="003B4E3C">
      <w:r>
        <w:separator/>
      </w:r>
    </w:p>
  </w:endnote>
  <w:endnote w:type="continuationSeparator" w:id="1">
    <w:p w:rsidR="00DB166A" w:rsidRDefault="00DB166A" w:rsidP="003B4E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66335"/>
      <w:docPartObj>
        <w:docPartGallery w:val="Page Numbers (Bottom of Page)"/>
        <w:docPartUnique/>
      </w:docPartObj>
    </w:sdtPr>
    <w:sdtContent>
      <w:p w:rsidR="00734FF9" w:rsidRDefault="007B2763">
        <w:pPr>
          <w:pStyle w:val="ae"/>
          <w:jc w:val="right"/>
        </w:pPr>
        <w:fldSimple w:instr=" PAGE   \* MERGEFORMAT ">
          <w:r w:rsidR="003C72C3">
            <w:rPr>
              <w:noProof/>
            </w:rPr>
            <w:t>2</w:t>
          </w:r>
        </w:fldSimple>
      </w:p>
    </w:sdtContent>
  </w:sdt>
  <w:p w:rsidR="00734FF9" w:rsidRDefault="00734FF9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166A" w:rsidRDefault="00DB166A" w:rsidP="003B4E3C">
      <w:r>
        <w:separator/>
      </w:r>
    </w:p>
  </w:footnote>
  <w:footnote w:type="continuationSeparator" w:id="1">
    <w:p w:rsidR="00DB166A" w:rsidRDefault="00DB166A" w:rsidP="003B4E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="Symbol" w:hAnsi="Symbol" w:cs="Symbol" w:hint="default"/>
        <w:sz w:val="28"/>
        <w:szCs w:val="28"/>
      </w:rPr>
    </w:lvl>
  </w:abstractNum>
  <w:abstractNum w:abstractNumId="1">
    <w:nsid w:val="07464A7F"/>
    <w:multiLevelType w:val="hybridMultilevel"/>
    <w:tmpl w:val="A396221E"/>
    <w:lvl w:ilvl="0" w:tplc="F2F8B1B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E3D6BA0"/>
    <w:multiLevelType w:val="hybridMultilevel"/>
    <w:tmpl w:val="1D720854"/>
    <w:lvl w:ilvl="0" w:tplc="B88A2D48">
      <w:start w:val="1"/>
      <w:numFmt w:val="decimal"/>
      <w:lvlText w:val="%1)"/>
      <w:lvlJc w:val="left"/>
      <w:pPr>
        <w:ind w:left="92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FEB6D71"/>
    <w:multiLevelType w:val="hybridMultilevel"/>
    <w:tmpl w:val="4B44D3D0"/>
    <w:lvl w:ilvl="0" w:tplc="2F9C03A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C3732F5"/>
    <w:multiLevelType w:val="hybridMultilevel"/>
    <w:tmpl w:val="C99605C4"/>
    <w:lvl w:ilvl="0" w:tplc="28B03D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44A5755"/>
    <w:multiLevelType w:val="singleLevel"/>
    <w:tmpl w:val="24760BE0"/>
    <w:lvl w:ilvl="0">
      <w:start w:val="8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6">
    <w:nsid w:val="27923679"/>
    <w:multiLevelType w:val="hybridMultilevel"/>
    <w:tmpl w:val="D3B8B1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4122DF"/>
    <w:multiLevelType w:val="singleLevel"/>
    <w:tmpl w:val="DC82E948"/>
    <w:lvl w:ilvl="0">
      <w:start w:val="14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8">
    <w:nsid w:val="313C1599"/>
    <w:multiLevelType w:val="hybridMultilevel"/>
    <w:tmpl w:val="C99605C4"/>
    <w:lvl w:ilvl="0" w:tplc="28B03D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39B7DB3"/>
    <w:multiLevelType w:val="hybridMultilevel"/>
    <w:tmpl w:val="D3B8B1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CC59AE"/>
    <w:multiLevelType w:val="hybridMultilevel"/>
    <w:tmpl w:val="E77AF53E"/>
    <w:lvl w:ilvl="0" w:tplc="D5BE898A">
      <w:start w:val="1"/>
      <w:numFmt w:val="decimal"/>
      <w:lvlText w:val="%1."/>
      <w:lvlJc w:val="left"/>
      <w:pPr>
        <w:ind w:left="10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>
    <w:nsid w:val="46380E52"/>
    <w:multiLevelType w:val="hybridMultilevel"/>
    <w:tmpl w:val="BB5C713C"/>
    <w:lvl w:ilvl="0" w:tplc="8F8A3488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96782A"/>
    <w:multiLevelType w:val="hybridMultilevel"/>
    <w:tmpl w:val="41445C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AC21D8"/>
    <w:multiLevelType w:val="singleLevel"/>
    <w:tmpl w:val="4C5E1EAA"/>
    <w:lvl w:ilvl="0">
      <w:start w:val="4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4">
    <w:nsid w:val="5FCA1CA9"/>
    <w:multiLevelType w:val="singleLevel"/>
    <w:tmpl w:val="6C5EBAC2"/>
    <w:lvl w:ilvl="0">
      <w:start w:val="5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5">
    <w:nsid w:val="693B3836"/>
    <w:multiLevelType w:val="hybridMultilevel"/>
    <w:tmpl w:val="FA4CDD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8D3E1E"/>
    <w:multiLevelType w:val="hybridMultilevel"/>
    <w:tmpl w:val="2F4C03F6"/>
    <w:lvl w:ilvl="0" w:tplc="128E3E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7DF749C7"/>
    <w:multiLevelType w:val="hybridMultilevel"/>
    <w:tmpl w:val="C094670C"/>
    <w:lvl w:ilvl="0" w:tplc="5D1698EA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3"/>
  </w:num>
  <w:num w:numId="2">
    <w:abstractNumId w:val="14"/>
  </w:num>
  <w:num w:numId="3">
    <w:abstractNumId w:val="14"/>
    <w:lvlOverride w:ilvl="0">
      <w:lvl w:ilvl="0">
        <w:start w:val="5"/>
        <w:numFmt w:val="decimal"/>
        <w:lvlText w:val="%1.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5"/>
  </w:num>
  <w:num w:numId="5">
    <w:abstractNumId w:val="7"/>
  </w:num>
  <w:num w:numId="6">
    <w:abstractNumId w:val="17"/>
  </w:num>
  <w:num w:numId="7">
    <w:abstractNumId w:val="1"/>
  </w:num>
  <w:num w:numId="8">
    <w:abstractNumId w:val="12"/>
  </w:num>
  <w:num w:numId="9">
    <w:abstractNumId w:val="2"/>
  </w:num>
  <w:num w:numId="10">
    <w:abstractNumId w:val="0"/>
  </w:num>
  <w:num w:numId="11">
    <w:abstractNumId w:val="10"/>
  </w:num>
  <w:num w:numId="12">
    <w:abstractNumId w:val="16"/>
  </w:num>
  <w:num w:numId="13">
    <w:abstractNumId w:val="8"/>
  </w:num>
  <w:num w:numId="14">
    <w:abstractNumId w:val="11"/>
  </w:num>
  <w:num w:numId="15">
    <w:abstractNumId w:val="4"/>
  </w:num>
  <w:num w:numId="16">
    <w:abstractNumId w:val="15"/>
  </w:num>
  <w:num w:numId="17">
    <w:abstractNumId w:val="9"/>
  </w:num>
  <w:num w:numId="18">
    <w:abstractNumId w:val="3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3C7C"/>
    <w:rsid w:val="00010F5C"/>
    <w:rsid w:val="00021BCE"/>
    <w:rsid w:val="000234C7"/>
    <w:rsid w:val="00024DC9"/>
    <w:rsid w:val="00034514"/>
    <w:rsid w:val="00043331"/>
    <w:rsid w:val="00045684"/>
    <w:rsid w:val="00047CC0"/>
    <w:rsid w:val="0005109D"/>
    <w:rsid w:val="0005220A"/>
    <w:rsid w:val="00055066"/>
    <w:rsid w:val="00055671"/>
    <w:rsid w:val="00057C9D"/>
    <w:rsid w:val="0006029E"/>
    <w:rsid w:val="000615FA"/>
    <w:rsid w:val="00084AB0"/>
    <w:rsid w:val="000952F4"/>
    <w:rsid w:val="00096040"/>
    <w:rsid w:val="00097486"/>
    <w:rsid w:val="000A12A0"/>
    <w:rsid w:val="000A1E1A"/>
    <w:rsid w:val="000A32A6"/>
    <w:rsid w:val="000A44E4"/>
    <w:rsid w:val="000B31AD"/>
    <w:rsid w:val="000B3BD1"/>
    <w:rsid w:val="000C0059"/>
    <w:rsid w:val="000C23B1"/>
    <w:rsid w:val="000C3F5E"/>
    <w:rsid w:val="000C5618"/>
    <w:rsid w:val="000D7B80"/>
    <w:rsid w:val="000E664C"/>
    <w:rsid w:val="000F3C7C"/>
    <w:rsid w:val="001005B2"/>
    <w:rsid w:val="00102675"/>
    <w:rsid w:val="00104A6C"/>
    <w:rsid w:val="00105BDC"/>
    <w:rsid w:val="00110B91"/>
    <w:rsid w:val="00117B4B"/>
    <w:rsid w:val="001276EB"/>
    <w:rsid w:val="00150927"/>
    <w:rsid w:val="00161288"/>
    <w:rsid w:val="00167778"/>
    <w:rsid w:val="00175944"/>
    <w:rsid w:val="0017721F"/>
    <w:rsid w:val="00191EA5"/>
    <w:rsid w:val="00193278"/>
    <w:rsid w:val="001937D0"/>
    <w:rsid w:val="001979B6"/>
    <w:rsid w:val="001A1EFA"/>
    <w:rsid w:val="001A5879"/>
    <w:rsid w:val="001B3BB6"/>
    <w:rsid w:val="001C529F"/>
    <w:rsid w:val="001C6C68"/>
    <w:rsid w:val="001C7675"/>
    <w:rsid w:val="001D5505"/>
    <w:rsid w:val="001E0E1D"/>
    <w:rsid w:val="001E388F"/>
    <w:rsid w:val="001F02B4"/>
    <w:rsid w:val="001F2126"/>
    <w:rsid w:val="001F35A2"/>
    <w:rsid w:val="001F51A3"/>
    <w:rsid w:val="001F7EBB"/>
    <w:rsid w:val="00210250"/>
    <w:rsid w:val="00215BAA"/>
    <w:rsid w:val="0022535F"/>
    <w:rsid w:val="00225A85"/>
    <w:rsid w:val="002264E2"/>
    <w:rsid w:val="002505D4"/>
    <w:rsid w:val="002569FC"/>
    <w:rsid w:val="00260E4F"/>
    <w:rsid w:val="0027075D"/>
    <w:rsid w:val="002753FB"/>
    <w:rsid w:val="002759C6"/>
    <w:rsid w:val="00275A40"/>
    <w:rsid w:val="00286794"/>
    <w:rsid w:val="00293C25"/>
    <w:rsid w:val="00295186"/>
    <w:rsid w:val="00295B94"/>
    <w:rsid w:val="002A2748"/>
    <w:rsid w:val="002A41C9"/>
    <w:rsid w:val="002A7530"/>
    <w:rsid w:val="002B15D7"/>
    <w:rsid w:val="002B3035"/>
    <w:rsid w:val="002C08E5"/>
    <w:rsid w:val="002C1554"/>
    <w:rsid w:val="002D2D7B"/>
    <w:rsid w:val="002D4A0D"/>
    <w:rsid w:val="002D51BB"/>
    <w:rsid w:val="002E319E"/>
    <w:rsid w:val="002E4EBB"/>
    <w:rsid w:val="002E63F4"/>
    <w:rsid w:val="002E647D"/>
    <w:rsid w:val="002F2748"/>
    <w:rsid w:val="002F4806"/>
    <w:rsid w:val="003004F1"/>
    <w:rsid w:val="00301607"/>
    <w:rsid w:val="00302CA8"/>
    <w:rsid w:val="00305AB3"/>
    <w:rsid w:val="00306A08"/>
    <w:rsid w:val="003102B4"/>
    <w:rsid w:val="003166AA"/>
    <w:rsid w:val="0032065A"/>
    <w:rsid w:val="003255F6"/>
    <w:rsid w:val="00340E56"/>
    <w:rsid w:val="0035116A"/>
    <w:rsid w:val="00354460"/>
    <w:rsid w:val="003544A7"/>
    <w:rsid w:val="00356F56"/>
    <w:rsid w:val="00360554"/>
    <w:rsid w:val="00361625"/>
    <w:rsid w:val="00371C3A"/>
    <w:rsid w:val="00373255"/>
    <w:rsid w:val="00382A29"/>
    <w:rsid w:val="00383BD5"/>
    <w:rsid w:val="00393B77"/>
    <w:rsid w:val="003A2F17"/>
    <w:rsid w:val="003A493A"/>
    <w:rsid w:val="003A639A"/>
    <w:rsid w:val="003B4E3C"/>
    <w:rsid w:val="003C011C"/>
    <w:rsid w:val="003C72C3"/>
    <w:rsid w:val="003C7873"/>
    <w:rsid w:val="003D2FEC"/>
    <w:rsid w:val="003E1C16"/>
    <w:rsid w:val="003E2E1B"/>
    <w:rsid w:val="003E397F"/>
    <w:rsid w:val="00412C92"/>
    <w:rsid w:val="004153AC"/>
    <w:rsid w:val="0041659D"/>
    <w:rsid w:val="0042056A"/>
    <w:rsid w:val="004547FD"/>
    <w:rsid w:val="004633F3"/>
    <w:rsid w:val="00463EFE"/>
    <w:rsid w:val="0047231D"/>
    <w:rsid w:val="00480C0A"/>
    <w:rsid w:val="00483D94"/>
    <w:rsid w:val="004A2C30"/>
    <w:rsid w:val="004A53DB"/>
    <w:rsid w:val="004C6603"/>
    <w:rsid w:val="004D2694"/>
    <w:rsid w:val="004E1B3B"/>
    <w:rsid w:val="004F0C64"/>
    <w:rsid w:val="00504EBA"/>
    <w:rsid w:val="00512D23"/>
    <w:rsid w:val="00521671"/>
    <w:rsid w:val="0052288F"/>
    <w:rsid w:val="00540E3C"/>
    <w:rsid w:val="005440AF"/>
    <w:rsid w:val="00552574"/>
    <w:rsid w:val="0055291C"/>
    <w:rsid w:val="00552C3F"/>
    <w:rsid w:val="00554B49"/>
    <w:rsid w:val="00554CCE"/>
    <w:rsid w:val="00566768"/>
    <w:rsid w:val="00573E42"/>
    <w:rsid w:val="00592FCC"/>
    <w:rsid w:val="0059657A"/>
    <w:rsid w:val="005A40BD"/>
    <w:rsid w:val="005A70B7"/>
    <w:rsid w:val="005B1741"/>
    <w:rsid w:val="005B444D"/>
    <w:rsid w:val="005B7476"/>
    <w:rsid w:val="005B7D63"/>
    <w:rsid w:val="005C2A86"/>
    <w:rsid w:val="005C5512"/>
    <w:rsid w:val="005C6870"/>
    <w:rsid w:val="005C7380"/>
    <w:rsid w:val="005C7430"/>
    <w:rsid w:val="005D17B3"/>
    <w:rsid w:val="005E1C2D"/>
    <w:rsid w:val="005E6F63"/>
    <w:rsid w:val="00606781"/>
    <w:rsid w:val="00622D77"/>
    <w:rsid w:val="00624AF8"/>
    <w:rsid w:val="006342DA"/>
    <w:rsid w:val="00645C2B"/>
    <w:rsid w:val="006556EC"/>
    <w:rsid w:val="00655D6E"/>
    <w:rsid w:val="0066589E"/>
    <w:rsid w:val="00672BBA"/>
    <w:rsid w:val="0067725B"/>
    <w:rsid w:val="00680EB6"/>
    <w:rsid w:val="00686AAA"/>
    <w:rsid w:val="006909A9"/>
    <w:rsid w:val="006A2071"/>
    <w:rsid w:val="006A4EBB"/>
    <w:rsid w:val="006B5D90"/>
    <w:rsid w:val="006C1F8F"/>
    <w:rsid w:val="006C222E"/>
    <w:rsid w:val="006C3599"/>
    <w:rsid w:val="006D0E4B"/>
    <w:rsid w:val="006D50BA"/>
    <w:rsid w:val="006D61E7"/>
    <w:rsid w:val="006E4610"/>
    <w:rsid w:val="006F58BE"/>
    <w:rsid w:val="006F70B9"/>
    <w:rsid w:val="006F7896"/>
    <w:rsid w:val="006F7A3D"/>
    <w:rsid w:val="00705A34"/>
    <w:rsid w:val="00712662"/>
    <w:rsid w:val="007136E3"/>
    <w:rsid w:val="00720028"/>
    <w:rsid w:val="00723FDA"/>
    <w:rsid w:val="00726F97"/>
    <w:rsid w:val="007315BA"/>
    <w:rsid w:val="00734FF9"/>
    <w:rsid w:val="007359A6"/>
    <w:rsid w:val="007403D3"/>
    <w:rsid w:val="00742B5C"/>
    <w:rsid w:val="00746B34"/>
    <w:rsid w:val="007508AF"/>
    <w:rsid w:val="00753524"/>
    <w:rsid w:val="00776329"/>
    <w:rsid w:val="007854D4"/>
    <w:rsid w:val="0079141A"/>
    <w:rsid w:val="00795278"/>
    <w:rsid w:val="007A3C61"/>
    <w:rsid w:val="007A515C"/>
    <w:rsid w:val="007A7F11"/>
    <w:rsid w:val="007B2168"/>
    <w:rsid w:val="007B2763"/>
    <w:rsid w:val="007B6683"/>
    <w:rsid w:val="007D3A23"/>
    <w:rsid w:val="007D4956"/>
    <w:rsid w:val="007D660A"/>
    <w:rsid w:val="007E3422"/>
    <w:rsid w:val="007E65C4"/>
    <w:rsid w:val="007F45A6"/>
    <w:rsid w:val="00802DC4"/>
    <w:rsid w:val="0080524B"/>
    <w:rsid w:val="0080758D"/>
    <w:rsid w:val="00810E3D"/>
    <w:rsid w:val="008145A4"/>
    <w:rsid w:val="008150A2"/>
    <w:rsid w:val="00815D44"/>
    <w:rsid w:val="0082110E"/>
    <w:rsid w:val="00825939"/>
    <w:rsid w:val="00845844"/>
    <w:rsid w:val="008604DD"/>
    <w:rsid w:val="00860CC6"/>
    <w:rsid w:val="00864D64"/>
    <w:rsid w:val="0087517C"/>
    <w:rsid w:val="00883A44"/>
    <w:rsid w:val="00891107"/>
    <w:rsid w:val="00893D1B"/>
    <w:rsid w:val="00896AF1"/>
    <w:rsid w:val="00897C21"/>
    <w:rsid w:val="008A2F6D"/>
    <w:rsid w:val="008A45DB"/>
    <w:rsid w:val="008A5844"/>
    <w:rsid w:val="008C05F7"/>
    <w:rsid w:val="008C328D"/>
    <w:rsid w:val="008C7A71"/>
    <w:rsid w:val="008D0E55"/>
    <w:rsid w:val="008D2395"/>
    <w:rsid w:val="008D33F4"/>
    <w:rsid w:val="008D371E"/>
    <w:rsid w:val="008D44D8"/>
    <w:rsid w:val="008E2FEE"/>
    <w:rsid w:val="008E7628"/>
    <w:rsid w:val="008F1AFB"/>
    <w:rsid w:val="008F4CE3"/>
    <w:rsid w:val="009019EF"/>
    <w:rsid w:val="00907719"/>
    <w:rsid w:val="00922666"/>
    <w:rsid w:val="0092794B"/>
    <w:rsid w:val="00931544"/>
    <w:rsid w:val="009319EC"/>
    <w:rsid w:val="00931D27"/>
    <w:rsid w:val="009330FE"/>
    <w:rsid w:val="009334A0"/>
    <w:rsid w:val="009405C4"/>
    <w:rsid w:val="00940F63"/>
    <w:rsid w:val="00943CBF"/>
    <w:rsid w:val="00944CC3"/>
    <w:rsid w:val="00950997"/>
    <w:rsid w:val="00966EC1"/>
    <w:rsid w:val="009679D9"/>
    <w:rsid w:val="0097169E"/>
    <w:rsid w:val="0097472F"/>
    <w:rsid w:val="00983649"/>
    <w:rsid w:val="00990BD9"/>
    <w:rsid w:val="00995569"/>
    <w:rsid w:val="009A036B"/>
    <w:rsid w:val="009B316A"/>
    <w:rsid w:val="009C69D6"/>
    <w:rsid w:val="009D28D5"/>
    <w:rsid w:val="009F16F2"/>
    <w:rsid w:val="00A02F92"/>
    <w:rsid w:val="00A06626"/>
    <w:rsid w:val="00A20A30"/>
    <w:rsid w:val="00A240CA"/>
    <w:rsid w:val="00A26FCB"/>
    <w:rsid w:val="00A34EE5"/>
    <w:rsid w:val="00A440DC"/>
    <w:rsid w:val="00A605C6"/>
    <w:rsid w:val="00A6284E"/>
    <w:rsid w:val="00A67853"/>
    <w:rsid w:val="00A72245"/>
    <w:rsid w:val="00A81FD4"/>
    <w:rsid w:val="00A82AAC"/>
    <w:rsid w:val="00A847E4"/>
    <w:rsid w:val="00A8536E"/>
    <w:rsid w:val="00A8630F"/>
    <w:rsid w:val="00A97ADB"/>
    <w:rsid w:val="00AB12A8"/>
    <w:rsid w:val="00AB23B1"/>
    <w:rsid w:val="00AC129B"/>
    <w:rsid w:val="00AC2075"/>
    <w:rsid w:val="00AD428E"/>
    <w:rsid w:val="00AF1DCF"/>
    <w:rsid w:val="00AF2353"/>
    <w:rsid w:val="00AF29E2"/>
    <w:rsid w:val="00AF6171"/>
    <w:rsid w:val="00B022C3"/>
    <w:rsid w:val="00B03A6A"/>
    <w:rsid w:val="00B10687"/>
    <w:rsid w:val="00B11BDB"/>
    <w:rsid w:val="00B12332"/>
    <w:rsid w:val="00B12686"/>
    <w:rsid w:val="00B14A4F"/>
    <w:rsid w:val="00B35F19"/>
    <w:rsid w:val="00B42046"/>
    <w:rsid w:val="00B45E4A"/>
    <w:rsid w:val="00B47E87"/>
    <w:rsid w:val="00B53921"/>
    <w:rsid w:val="00B5630A"/>
    <w:rsid w:val="00B6320D"/>
    <w:rsid w:val="00B7077D"/>
    <w:rsid w:val="00B82848"/>
    <w:rsid w:val="00B97DD5"/>
    <w:rsid w:val="00BA3812"/>
    <w:rsid w:val="00BA4B78"/>
    <w:rsid w:val="00BA53A0"/>
    <w:rsid w:val="00BA5B72"/>
    <w:rsid w:val="00BA6C14"/>
    <w:rsid w:val="00BB5260"/>
    <w:rsid w:val="00BC2FBF"/>
    <w:rsid w:val="00BD1DC1"/>
    <w:rsid w:val="00BD3E9C"/>
    <w:rsid w:val="00BD73A3"/>
    <w:rsid w:val="00BE05A7"/>
    <w:rsid w:val="00BF2AA0"/>
    <w:rsid w:val="00BF412E"/>
    <w:rsid w:val="00BF6813"/>
    <w:rsid w:val="00C02914"/>
    <w:rsid w:val="00C132A1"/>
    <w:rsid w:val="00C13BAD"/>
    <w:rsid w:val="00C2502E"/>
    <w:rsid w:val="00C250DE"/>
    <w:rsid w:val="00C33A4F"/>
    <w:rsid w:val="00C41EF7"/>
    <w:rsid w:val="00C44541"/>
    <w:rsid w:val="00C647AE"/>
    <w:rsid w:val="00C6506D"/>
    <w:rsid w:val="00C717EE"/>
    <w:rsid w:val="00C81251"/>
    <w:rsid w:val="00C85849"/>
    <w:rsid w:val="00C86F01"/>
    <w:rsid w:val="00C9517A"/>
    <w:rsid w:val="00C961B3"/>
    <w:rsid w:val="00C96DF6"/>
    <w:rsid w:val="00CA0FDC"/>
    <w:rsid w:val="00CA46ED"/>
    <w:rsid w:val="00CA5990"/>
    <w:rsid w:val="00CA66CF"/>
    <w:rsid w:val="00CB0D8E"/>
    <w:rsid w:val="00CB0F6C"/>
    <w:rsid w:val="00CB1C47"/>
    <w:rsid w:val="00CC05BF"/>
    <w:rsid w:val="00CC0805"/>
    <w:rsid w:val="00CC5AAE"/>
    <w:rsid w:val="00CD2ED6"/>
    <w:rsid w:val="00CD5DDC"/>
    <w:rsid w:val="00CE1344"/>
    <w:rsid w:val="00CE2C38"/>
    <w:rsid w:val="00CF50A2"/>
    <w:rsid w:val="00D0242B"/>
    <w:rsid w:val="00D0780A"/>
    <w:rsid w:val="00D13134"/>
    <w:rsid w:val="00D15978"/>
    <w:rsid w:val="00D1680F"/>
    <w:rsid w:val="00D17213"/>
    <w:rsid w:val="00D31048"/>
    <w:rsid w:val="00D33550"/>
    <w:rsid w:val="00D4409D"/>
    <w:rsid w:val="00D51C42"/>
    <w:rsid w:val="00D533A4"/>
    <w:rsid w:val="00D5623D"/>
    <w:rsid w:val="00D66F30"/>
    <w:rsid w:val="00D67398"/>
    <w:rsid w:val="00D70417"/>
    <w:rsid w:val="00D75FD9"/>
    <w:rsid w:val="00D76C38"/>
    <w:rsid w:val="00D860CE"/>
    <w:rsid w:val="00D8654B"/>
    <w:rsid w:val="00D938D2"/>
    <w:rsid w:val="00D95D83"/>
    <w:rsid w:val="00DA1EF9"/>
    <w:rsid w:val="00DA4A01"/>
    <w:rsid w:val="00DB0DA1"/>
    <w:rsid w:val="00DB102B"/>
    <w:rsid w:val="00DB166A"/>
    <w:rsid w:val="00DB4D4F"/>
    <w:rsid w:val="00DB6C6B"/>
    <w:rsid w:val="00DC0CF5"/>
    <w:rsid w:val="00DC5F10"/>
    <w:rsid w:val="00DD6DDB"/>
    <w:rsid w:val="00DD7C72"/>
    <w:rsid w:val="00DE1891"/>
    <w:rsid w:val="00DE7256"/>
    <w:rsid w:val="00DE794A"/>
    <w:rsid w:val="00DF2A5A"/>
    <w:rsid w:val="00E00D1C"/>
    <w:rsid w:val="00E02782"/>
    <w:rsid w:val="00E054E5"/>
    <w:rsid w:val="00E12B6B"/>
    <w:rsid w:val="00E228B5"/>
    <w:rsid w:val="00E300A6"/>
    <w:rsid w:val="00E32B4A"/>
    <w:rsid w:val="00E422F4"/>
    <w:rsid w:val="00E57F2A"/>
    <w:rsid w:val="00E7415D"/>
    <w:rsid w:val="00E80782"/>
    <w:rsid w:val="00E8316E"/>
    <w:rsid w:val="00E87E1C"/>
    <w:rsid w:val="00E94E87"/>
    <w:rsid w:val="00E96DF1"/>
    <w:rsid w:val="00EA1C65"/>
    <w:rsid w:val="00EA6C6D"/>
    <w:rsid w:val="00EA7230"/>
    <w:rsid w:val="00EA7F87"/>
    <w:rsid w:val="00EB5AEA"/>
    <w:rsid w:val="00EC44C6"/>
    <w:rsid w:val="00EC5F84"/>
    <w:rsid w:val="00EC7EC6"/>
    <w:rsid w:val="00ED1A6B"/>
    <w:rsid w:val="00ED263D"/>
    <w:rsid w:val="00EE76AF"/>
    <w:rsid w:val="00EE7930"/>
    <w:rsid w:val="00EF1BAA"/>
    <w:rsid w:val="00EF2A2A"/>
    <w:rsid w:val="00EF3E35"/>
    <w:rsid w:val="00EF77CC"/>
    <w:rsid w:val="00F02FC0"/>
    <w:rsid w:val="00F05DC5"/>
    <w:rsid w:val="00F168B9"/>
    <w:rsid w:val="00F2225C"/>
    <w:rsid w:val="00F27B74"/>
    <w:rsid w:val="00F3083D"/>
    <w:rsid w:val="00F33725"/>
    <w:rsid w:val="00F35051"/>
    <w:rsid w:val="00F37E0A"/>
    <w:rsid w:val="00F566C3"/>
    <w:rsid w:val="00F571B3"/>
    <w:rsid w:val="00F600AF"/>
    <w:rsid w:val="00F601A7"/>
    <w:rsid w:val="00F604A6"/>
    <w:rsid w:val="00F66449"/>
    <w:rsid w:val="00F66951"/>
    <w:rsid w:val="00F73B76"/>
    <w:rsid w:val="00F849F3"/>
    <w:rsid w:val="00FA4D23"/>
    <w:rsid w:val="00FA7EAA"/>
    <w:rsid w:val="00FB43AD"/>
    <w:rsid w:val="00FB6670"/>
    <w:rsid w:val="00FC248B"/>
    <w:rsid w:val="00FC5B49"/>
    <w:rsid w:val="00FE2CCD"/>
    <w:rsid w:val="00FE5185"/>
    <w:rsid w:val="00FF0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9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31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0B31AD"/>
    <w:rPr>
      <w:color w:val="0000FF" w:themeColor="hyperlink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rsid w:val="000B31AD"/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a4"/>
    <w:uiPriority w:val="99"/>
    <w:semiHidden/>
    <w:unhideWhenUsed/>
    <w:rsid w:val="000B31A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B31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link w:val="a8"/>
    <w:uiPriority w:val="34"/>
    <w:qFormat/>
    <w:rsid w:val="000B31A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9">
    <w:name w:val="Основной шрифт абзаца Знак"/>
    <w:aliases w:val=" Знак7 Знак,Знак7 Знак"/>
    <w:basedOn w:val="a"/>
    <w:rsid w:val="000B31AD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0B31A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Emphasis"/>
    <w:basedOn w:val="a0"/>
    <w:qFormat/>
    <w:rsid w:val="000B31AD"/>
    <w:rPr>
      <w:i/>
      <w:iCs/>
    </w:rPr>
  </w:style>
  <w:style w:type="paragraph" w:styleId="ab">
    <w:name w:val="No Spacing"/>
    <w:uiPriority w:val="1"/>
    <w:qFormat/>
    <w:rsid w:val="007403D3"/>
    <w:pPr>
      <w:spacing w:after="0" w:line="240" w:lineRule="auto"/>
    </w:pPr>
  </w:style>
  <w:style w:type="paragraph" w:styleId="ac">
    <w:name w:val="header"/>
    <w:basedOn w:val="a"/>
    <w:link w:val="ad"/>
    <w:uiPriority w:val="99"/>
    <w:semiHidden/>
    <w:unhideWhenUsed/>
    <w:rsid w:val="003B4E3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3B4E3C"/>
  </w:style>
  <w:style w:type="paragraph" w:styleId="ae">
    <w:name w:val="footer"/>
    <w:basedOn w:val="a"/>
    <w:link w:val="af"/>
    <w:uiPriority w:val="99"/>
    <w:unhideWhenUsed/>
    <w:rsid w:val="003B4E3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3B4E3C"/>
  </w:style>
  <w:style w:type="paragraph" w:styleId="af0">
    <w:name w:val="Body Text"/>
    <w:basedOn w:val="a"/>
    <w:link w:val="af1"/>
    <w:rsid w:val="00C96DF6"/>
    <w:pPr>
      <w:jc w:val="both"/>
    </w:pPr>
    <w:rPr>
      <w:szCs w:val="20"/>
    </w:rPr>
  </w:style>
  <w:style w:type="character" w:customStyle="1" w:styleId="af1">
    <w:name w:val="Основной текст Знак"/>
    <w:basedOn w:val="a0"/>
    <w:link w:val="af0"/>
    <w:rsid w:val="00C96DF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45">
    <w:name w:val="Font Style45"/>
    <w:basedOn w:val="a0"/>
    <w:uiPriority w:val="99"/>
    <w:rsid w:val="007854D4"/>
    <w:rPr>
      <w:rFonts w:ascii="Times New Roman" w:hAnsi="Times New Roman" w:cs="Times New Roman"/>
      <w:sz w:val="26"/>
      <w:szCs w:val="26"/>
    </w:rPr>
  </w:style>
  <w:style w:type="character" w:customStyle="1" w:styleId="a8">
    <w:name w:val="Абзац списка Знак"/>
    <w:link w:val="a7"/>
    <w:uiPriority w:val="34"/>
    <w:locked/>
    <w:rsid w:val="00F601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204C6-BE10-428A-B5E0-24C71283E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5500</TotalTime>
  <Pages>1</Pages>
  <Words>1358</Words>
  <Characters>7743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НАЧАЛЬНИКА</cp:lastModifiedBy>
  <cp:revision>147</cp:revision>
  <cp:lastPrinted>2019-02-28T07:49:00Z</cp:lastPrinted>
  <dcterms:created xsi:type="dcterms:W3CDTF">2015-10-09T06:44:00Z</dcterms:created>
  <dcterms:modified xsi:type="dcterms:W3CDTF">2022-12-27T09:07:00Z</dcterms:modified>
</cp:coreProperties>
</file>